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55373" w14:textId="77777777" w:rsidR="004D06DE" w:rsidRPr="00344882" w:rsidRDefault="004D06DE" w:rsidP="004D06DE">
      <w:pPr>
        <w:rPr>
          <w:rFonts w:ascii="Arial Narrow" w:hAnsi="Arial Narrow" w:cs="Arial"/>
          <w:color w:val="auto"/>
          <w:sz w:val="22"/>
          <w:szCs w:val="22"/>
        </w:rPr>
      </w:pPr>
    </w:p>
    <w:p w14:paraId="573157E0" w14:textId="0226AD48" w:rsidR="00D11CDB" w:rsidRPr="00D85E4B" w:rsidRDefault="00D11CDB" w:rsidP="00D11CDB">
      <w:pPr>
        <w:jc w:val="center"/>
        <w:rPr>
          <w:rFonts w:ascii="Arial Narrow" w:hAnsi="Arial Narrow" w:cs="Arial"/>
          <w:b/>
          <w:color w:val="auto"/>
        </w:rPr>
      </w:pPr>
      <w:r w:rsidRPr="00D85E4B">
        <w:rPr>
          <w:rFonts w:ascii="Arial Narrow" w:hAnsi="Arial Narrow" w:cs="Arial"/>
          <w:b/>
          <w:color w:val="auto"/>
        </w:rPr>
        <w:t xml:space="preserve">ACUERDO No </w:t>
      </w:r>
    </w:p>
    <w:p w14:paraId="20D24E78" w14:textId="08C3E652" w:rsidR="00D11CDB" w:rsidRPr="00D85E4B" w:rsidRDefault="00B66478" w:rsidP="00D11CDB">
      <w:pPr>
        <w:jc w:val="center"/>
        <w:rPr>
          <w:rFonts w:ascii="Arial Narrow" w:hAnsi="Arial Narrow" w:cs="Arial"/>
          <w:color w:val="auto"/>
        </w:rPr>
      </w:pPr>
      <w:r w:rsidRPr="00D85E4B">
        <w:rPr>
          <w:rFonts w:ascii="Arial Narrow" w:hAnsi="Arial Narrow" w:cs="Arial"/>
          <w:color w:val="auto"/>
        </w:rPr>
        <w:t>May</w:t>
      </w:r>
      <w:r w:rsidR="00D11CDB" w:rsidRPr="00D85E4B">
        <w:rPr>
          <w:rFonts w:ascii="Arial Narrow" w:hAnsi="Arial Narrow" w:cs="Arial"/>
          <w:color w:val="auto"/>
        </w:rPr>
        <w:t xml:space="preserve">o </w:t>
      </w:r>
      <w:r w:rsidR="008C091F" w:rsidRPr="00D85E4B">
        <w:rPr>
          <w:rFonts w:ascii="Arial Narrow" w:hAnsi="Arial Narrow" w:cs="Arial"/>
          <w:color w:val="auto"/>
        </w:rPr>
        <w:t xml:space="preserve">   </w:t>
      </w:r>
      <w:r w:rsidRPr="00D85E4B">
        <w:rPr>
          <w:rFonts w:ascii="Arial Narrow" w:hAnsi="Arial Narrow" w:cs="Arial"/>
          <w:color w:val="auto"/>
        </w:rPr>
        <w:t xml:space="preserve"> de 2022</w:t>
      </w:r>
    </w:p>
    <w:p w14:paraId="4E1D802B" w14:textId="77777777" w:rsidR="00D11CDB" w:rsidRPr="00D85E4B" w:rsidRDefault="00D11CDB" w:rsidP="00D11CDB">
      <w:pPr>
        <w:jc w:val="center"/>
        <w:rPr>
          <w:rFonts w:ascii="Arial Narrow" w:hAnsi="Arial Narrow" w:cs="Arial"/>
          <w:b/>
          <w:bCs/>
          <w:color w:val="auto"/>
        </w:rPr>
      </w:pPr>
    </w:p>
    <w:p w14:paraId="5E6792E8" w14:textId="1EE55B9A" w:rsidR="00B66478" w:rsidRPr="00D85E4B" w:rsidRDefault="00D11CDB" w:rsidP="00D11CDB">
      <w:pPr>
        <w:jc w:val="center"/>
        <w:rPr>
          <w:rFonts w:ascii="Arial Narrow" w:hAnsi="Arial Narrow" w:cs="Arial"/>
          <w:b/>
          <w:bCs/>
          <w:color w:val="auto"/>
        </w:rPr>
      </w:pPr>
      <w:r w:rsidRPr="00D85E4B">
        <w:rPr>
          <w:rFonts w:ascii="Arial Narrow" w:hAnsi="Arial Narrow" w:cs="Arial"/>
          <w:b/>
          <w:bCs/>
          <w:color w:val="auto"/>
        </w:rPr>
        <w:t xml:space="preserve">“Por medio del cual se </w:t>
      </w:r>
      <w:r w:rsidR="00B66478" w:rsidRPr="00D85E4B">
        <w:rPr>
          <w:rFonts w:ascii="Arial Narrow" w:hAnsi="Arial Narrow" w:cs="Arial"/>
          <w:b/>
          <w:bCs/>
          <w:color w:val="auto"/>
        </w:rPr>
        <w:t>autoriza y se conceden facultades de endeudamiento al Gerente de la E.S.E.</w:t>
      </w:r>
      <w:r w:rsidR="00ED550C" w:rsidRPr="00D85E4B">
        <w:rPr>
          <w:rFonts w:ascii="Arial Narrow" w:hAnsi="Arial Narrow" w:cs="Arial"/>
          <w:b/>
          <w:bCs/>
          <w:color w:val="auto"/>
        </w:rPr>
        <w:t xml:space="preserve"> Hospital Regional De Moniquirá”</w:t>
      </w:r>
    </w:p>
    <w:p w14:paraId="6D158E2F" w14:textId="77777777" w:rsidR="00075AFB" w:rsidRPr="00D85E4B" w:rsidRDefault="00075AFB" w:rsidP="00B66478">
      <w:pPr>
        <w:rPr>
          <w:rFonts w:ascii="Arial Narrow" w:hAnsi="Arial Narrow" w:cs="Arial"/>
          <w:color w:val="auto"/>
        </w:rPr>
      </w:pPr>
    </w:p>
    <w:p w14:paraId="3E03DB25" w14:textId="0D6EA489" w:rsidR="00075AFB" w:rsidRPr="00D85E4B" w:rsidRDefault="00075AFB" w:rsidP="00B66478">
      <w:pPr>
        <w:jc w:val="center"/>
        <w:rPr>
          <w:rFonts w:ascii="Arial Narrow" w:hAnsi="Arial Narrow" w:cs="Arial"/>
          <w:color w:val="auto"/>
        </w:rPr>
      </w:pPr>
      <w:r w:rsidRPr="00D85E4B">
        <w:rPr>
          <w:rFonts w:ascii="Arial Narrow" w:hAnsi="Arial Narrow" w:cs="Arial"/>
          <w:color w:val="auto"/>
        </w:rPr>
        <w:t>La Junta Directiva del Hospital Regional de Moniquirá, en ejerc</w:t>
      </w:r>
      <w:r w:rsidR="00B66478" w:rsidRPr="00D85E4B">
        <w:rPr>
          <w:rFonts w:ascii="Arial Narrow" w:hAnsi="Arial Narrow" w:cs="Arial"/>
          <w:color w:val="auto"/>
        </w:rPr>
        <w:t>icio de las facultades legales y estatutarias, y</w:t>
      </w:r>
    </w:p>
    <w:p w14:paraId="6DD9B6FE" w14:textId="77777777" w:rsidR="00075AFB" w:rsidRPr="00D85E4B" w:rsidRDefault="00075AFB" w:rsidP="00075AFB">
      <w:pPr>
        <w:jc w:val="both"/>
        <w:rPr>
          <w:rFonts w:ascii="Arial Narrow" w:hAnsi="Arial Narrow" w:cs="Arial"/>
          <w:color w:val="auto"/>
        </w:rPr>
      </w:pPr>
    </w:p>
    <w:p w14:paraId="17E53494" w14:textId="77777777" w:rsidR="00075AFB" w:rsidRPr="00D85E4B" w:rsidRDefault="00075AFB" w:rsidP="00075AFB">
      <w:pPr>
        <w:jc w:val="center"/>
        <w:rPr>
          <w:rFonts w:ascii="Arial Narrow" w:hAnsi="Arial Narrow" w:cs="Arial"/>
          <w:b/>
          <w:color w:val="auto"/>
        </w:rPr>
      </w:pPr>
      <w:r w:rsidRPr="00D85E4B">
        <w:rPr>
          <w:rFonts w:ascii="Arial Narrow" w:hAnsi="Arial Narrow" w:cs="Arial"/>
          <w:b/>
          <w:color w:val="auto"/>
        </w:rPr>
        <w:t>CONSIDERANDO QUE</w:t>
      </w:r>
    </w:p>
    <w:p w14:paraId="25D1BADA" w14:textId="72D19DC8" w:rsidR="00BC6F99" w:rsidRPr="00D85E4B" w:rsidRDefault="00B66478" w:rsidP="00BC6F99">
      <w:pPr>
        <w:jc w:val="both"/>
        <w:rPr>
          <w:rFonts w:ascii="Arial Narrow" w:hAnsi="Arial Narrow" w:cs="Arial"/>
          <w:color w:val="auto"/>
        </w:rPr>
      </w:pPr>
      <w:r w:rsidRPr="00D85E4B">
        <w:rPr>
          <w:rFonts w:ascii="Arial Narrow" w:hAnsi="Arial Narrow" w:cs="Arial"/>
          <w:color w:val="auto"/>
        </w:rPr>
        <w:t xml:space="preserve"> </w:t>
      </w:r>
    </w:p>
    <w:p w14:paraId="435ECF57" w14:textId="7CB95269" w:rsidR="00075AFB" w:rsidRPr="00D85E4B" w:rsidRDefault="00B66478" w:rsidP="00075AFB">
      <w:pPr>
        <w:jc w:val="both"/>
        <w:rPr>
          <w:rFonts w:ascii="Arial Narrow" w:hAnsi="Arial Narrow" w:cs="Arial"/>
          <w:color w:val="auto"/>
        </w:rPr>
      </w:pPr>
      <w:r w:rsidRPr="00D85E4B">
        <w:rPr>
          <w:rFonts w:ascii="Arial Narrow" w:hAnsi="Arial Narrow" w:cs="Arial"/>
          <w:color w:val="auto"/>
        </w:rPr>
        <w:t>De conformidad con lo dispuesto en el Articulo 14 del Acuerdo 06 de 2017, estatuto de Contratación de la E.S.E., la Junta Directiva de la E.S.E. debe aprobar la celebración de empréstitos, de manera previa al inicio de la etapa pre contractual</w:t>
      </w:r>
    </w:p>
    <w:p w14:paraId="6A76B63C" w14:textId="77777777" w:rsidR="00B66478" w:rsidRPr="00D85E4B" w:rsidRDefault="00B66478" w:rsidP="00075AFB">
      <w:pPr>
        <w:jc w:val="both"/>
        <w:rPr>
          <w:rFonts w:ascii="Arial Narrow" w:hAnsi="Arial Narrow" w:cs="Arial"/>
          <w:color w:val="auto"/>
        </w:rPr>
      </w:pPr>
    </w:p>
    <w:p w14:paraId="6C9B89CB" w14:textId="1E95429B" w:rsidR="00B66478" w:rsidRPr="00D85E4B" w:rsidRDefault="00B66478" w:rsidP="00075AFB">
      <w:pPr>
        <w:jc w:val="both"/>
        <w:rPr>
          <w:rFonts w:ascii="Arial Narrow" w:hAnsi="Arial Narrow" w:cs="Arial"/>
          <w:color w:val="auto"/>
        </w:rPr>
      </w:pPr>
      <w:r w:rsidRPr="00D85E4B">
        <w:rPr>
          <w:rFonts w:ascii="Arial Narrow" w:hAnsi="Arial Narrow" w:cs="Arial"/>
          <w:color w:val="auto"/>
        </w:rPr>
        <w:t>Que de conformidad con el estatuto de la Junta Directiva, es función de la misma:</w:t>
      </w:r>
    </w:p>
    <w:p w14:paraId="76D29E38" w14:textId="77777777" w:rsidR="007B2E58" w:rsidRPr="00D85E4B" w:rsidRDefault="007B2E58" w:rsidP="00075AFB">
      <w:pPr>
        <w:jc w:val="both"/>
        <w:rPr>
          <w:rFonts w:ascii="Arial Narrow" w:hAnsi="Arial Narrow" w:cs="Arial"/>
          <w:color w:val="auto"/>
        </w:rPr>
      </w:pPr>
    </w:p>
    <w:p w14:paraId="5B336FA8" w14:textId="77777777" w:rsidR="007B2E58" w:rsidRPr="00D85E4B" w:rsidRDefault="007B2E58" w:rsidP="007B2E58">
      <w:pPr>
        <w:jc w:val="both"/>
        <w:rPr>
          <w:rFonts w:ascii="Arial Narrow" w:hAnsi="Arial Narrow" w:cs="Arial"/>
          <w:i/>
          <w:color w:val="auto"/>
        </w:rPr>
      </w:pPr>
      <w:r w:rsidRPr="00D85E4B">
        <w:rPr>
          <w:rFonts w:ascii="Arial Narrow" w:hAnsi="Arial Narrow" w:cs="Arial"/>
          <w:b/>
          <w:i/>
          <w:color w:val="auto"/>
        </w:rPr>
        <w:t>ARTICULO CUARTO. De las funciones</w:t>
      </w:r>
      <w:r w:rsidRPr="00D85E4B">
        <w:rPr>
          <w:rFonts w:ascii="Arial Narrow" w:hAnsi="Arial Narrow" w:cs="Arial"/>
          <w:i/>
          <w:color w:val="auto"/>
        </w:rPr>
        <w:t>. La Junta Directiva de la Empresa Social del Estado Hospital Regional de Moniquirá, tendrá las siguientes funciones, en cumplimiento de lo establecido en el decreto 780 de 2016 y demás normas vigentes:</w:t>
      </w:r>
    </w:p>
    <w:p w14:paraId="5F4F6901" w14:textId="77777777" w:rsidR="007B2E58" w:rsidRPr="00D85E4B" w:rsidRDefault="007B2E58" w:rsidP="007B2E58">
      <w:pPr>
        <w:jc w:val="both"/>
        <w:rPr>
          <w:rFonts w:ascii="Arial Narrow" w:hAnsi="Arial Narrow" w:cs="Arial"/>
          <w:i/>
          <w:color w:val="auto"/>
        </w:rPr>
      </w:pPr>
    </w:p>
    <w:p w14:paraId="047C3790" w14:textId="77777777" w:rsidR="007B2E58" w:rsidRPr="00D85E4B" w:rsidRDefault="007B2E58" w:rsidP="00344882">
      <w:pPr>
        <w:pStyle w:val="NormalWeb"/>
        <w:spacing w:before="0" w:beforeAutospacing="0" w:after="0" w:afterAutospacing="0" w:line="254" w:lineRule="atLeast"/>
        <w:ind w:left="709" w:right="571"/>
        <w:jc w:val="both"/>
        <w:rPr>
          <w:rFonts w:ascii="Arial Narrow" w:hAnsi="Arial Narrow" w:cs="Arial"/>
          <w:i/>
        </w:rPr>
      </w:pPr>
      <w:r w:rsidRPr="00D85E4B">
        <w:rPr>
          <w:rFonts w:ascii="Arial Narrow" w:hAnsi="Arial Narrow" w:cs="Arial"/>
          <w:i/>
        </w:rPr>
        <w:t>1. Expedir, adicionar y reformar el Estatuto Interno. </w:t>
      </w:r>
    </w:p>
    <w:p w14:paraId="2C6C4DE1" w14:textId="77777777" w:rsidR="007B2E58" w:rsidRPr="00D85E4B" w:rsidRDefault="007B2E58" w:rsidP="00344882">
      <w:pPr>
        <w:pStyle w:val="NormalWeb"/>
        <w:spacing w:before="0" w:beforeAutospacing="0" w:after="0" w:afterAutospacing="0" w:line="254" w:lineRule="atLeast"/>
        <w:ind w:left="709" w:right="571"/>
        <w:jc w:val="both"/>
        <w:rPr>
          <w:rFonts w:ascii="Arial Narrow" w:hAnsi="Arial Narrow" w:cs="Arial"/>
          <w:i/>
        </w:rPr>
      </w:pPr>
      <w:r w:rsidRPr="00D85E4B">
        <w:rPr>
          <w:rFonts w:ascii="Arial Narrow" w:hAnsi="Arial Narrow" w:cs="Arial"/>
          <w:i/>
        </w:rPr>
        <w:t>  </w:t>
      </w:r>
    </w:p>
    <w:p w14:paraId="51F47DEA" w14:textId="1D519156" w:rsidR="007B2E58" w:rsidRPr="00D85E4B" w:rsidRDefault="007B2E58" w:rsidP="00344882">
      <w:pPr>
        <w:pStyle w:val="NormalWeb"/>
        <w:spacing w:before="0" w:beforeAutospacing="0" w:after="0" w:afterAutospacing="0" w:line="254" w:lineRule="atLeast"/>
        <w:ind w:left="709" w:right="571"/>
        <w:jc w:val="both"/>
        <w:rPr>
          <w:rFonts w:ascii="Arial Narrow" w:hAnsi="Arial Narrow" w:cs="Arial"/>
          <w:i/>
        </w:rPr>
      </w:pPr>
      <w:r w:rsidRPr="00D85E4B">
        <w:rPr>
          <w:rFonts w:ascii="Arial Narrow" w:hAnsi="Arial Narrow" w:cs="Arial"/>
          <w:i/>
        </w:rPr>
        <w:t>2. Discutir y aprobar los Planes de Desarrollo de la Empresa Social. (…)</w:t>
      </w:r>
    </w:p>
    <w:p w14:paraId="5BE78057" w14:textId="77777777" w:rsidR="007B2E58" w:rsidRPr="00D85E4B" w:rsidRDefault="007B2E58" w:rsidP="00344882">
      <w:pPr>
        <w:ind w:left="709" w:right="571"/>
        <w:jc w:val="both"/>
        <w:rPr>
          <w:rFonts w:ascii="Arial Narrow" w:hAnsi="Arial Narrow" w:cs="Arial"/>
          <w:i/>
          <w:color w:val="auto"/>
          <w:lang w:val="es-ES"/>
        </w:rPr>
      </w:pPr>
    </w:p>
    <w:p w14:paraId="4B9AC4FB" w14:textId="77777777" w:rsidR="007B2E58" w:rsidRPr="00D85E4B" w:rsidRDefault="007B2E58" w:rsidP="00344882">
      <w:pPr>
        <w:pStyle w:val="NormalWeb"/>
        <w:spacing w:before="0" w:beforeAutospacing="0" w:after="0" w:afterAutospacing="0" w:line="254" w:lineRule="atLeast"/>
        <w:ind w:left="709" w:right="571"/>
        <w:jc w:val="both"/>
        <w:rPr>
          <w:rFonts w:ascii="Arial Narrow" w:hAnsi="Arial Narrow" w:cs="Arial"/>
          <w:i/>
        </w:rPr>
      </w:pPr>
      <w:r w:rsidRPr="00D85E4B">
        <w:rPr>
          <w:rFonts w:ascii="Arial Narrow" w:hAnsi="Arial Narrow" w:cs="Arial"/>
          <w:i/>
        </w:rPr>
        <w:t>17. de conformidad con lo dispuesto en el artículo 14 del Estatuto de contratación de la entidad, en los procesos de selección cuya cuantía supere los mil (1000) salarios mínimos legales mensuales vigentes, en los de enajenación de bienes inmuebles, celebración de empréstitos y los contratos de sociedad, autorizar  de manera previa al inicio de la etapa pre contractual.</w:t>
      </w:r>
    </w:p>
    <w:p w14:paraId="673A1A33" w14:textId="4ABE2C61" w:rsidR="00B66478" w:rsidRPr="00D85E4B" w:rsidRDefault="00B66478" w:rsidP="00075AFB">
      <w:pPr>
        <w:jc w:val="both"/>
        <w:rPr>
          <w:rFonts w:ascii="Arial Narrow" w:hAnsi="Arial Narrow" w:cs="Arial"/>
          <w:color w:val="auto"/>
          <w:lang w:val="es-ES"/>
        </w:rPr>
      </w:pPr>
    </w:p>
    <w:p w14:paraId="407C27DE" w14:textId="2BDD8202" w:rsidR="007B2E58" w:rsidRDefault="00ED550C" w:rsidP="00985CF7">
      <w:pPr>
        <w:spacing w:after="200" w:line="276" w:lineRule="auto"/>
        <w:contextualSpacing/>
        <w:jc w:val="both"/>
        <w:rPr>
          <w:rFonts w:ascii="Arial Narrow" w:hAnsi="Arial Narrow"/>
          <w:color w:val="auto"/>
        </w:rPr>
      </w:pPr>
      <w:r w:rsidRPr="00D85E4B">
        <w:rPr>
          <w:rFonts w:ascii="Arial Narrow" w:hAnsi="Arial Narrow"/>
          <w:color w:val="auto"/>
        </w:rPr>
        <w:t xml:space="preserve">Que el </w:t>
      </w:r>
      <w:r w:rsidR="007B2E58" w:rsidRPr="00D85E4B">
        <w:rPr>
          <w:rFonts w:ascii="Arial Narrow" w:hAnsi="Arial Narrow"/>
          <w:color w:val="auto"/>
        </w:rPr>
        <w:t>día 05 de febrero de 2022, acaeció el daño del TOMOGRAFO SUPRIA SERIAL X1866 de la Institución, siendo el diagnostico de daño el denominado “informe técnico de inspección y diagnostico”, por el cual ingenieros de TAICHI diagnostican las causas del daño en el equipo, discriminándolas en la siguiente forma:”</w:t>
      </w:r>
      <w:r w:rsidRPr="00D85E4B">
        <w:rPr>
          <w:rFonts w:ascii="Arial Narrow" w:hAnsi="Arial Narrow"/>
          <w:color w:val="auto"/>
        </w:rPr>
        <w:t xml:space="preserve"> </w:t>
      </w:r>
      <w:r w:rsidR="007B2E58" w:rsidRPr="00D85E4B">
        <w:rPr>
          <w:rFonts w:ascii="Arial Narrow" w:hAnsi="Arial Narrow"/>
          <w:color w:val="auto"/>
        </w:rPr>
        <w:t>el mismo presenta daños en el tubo de rayos x serial HQ20034618 y en el generador de alto voltaje serial G560030718-3</w:t>
      </w:r>
      <w:r w:rsidR="00985CF7">
        <w:rPr>
          <w:rFonts w:ascii="Arial Narrow" w:hAnsi="Arial Narrow"/>
          <w:color w:val="auto"/>
        </w:rPr>
        <w:t>.</w:t>
      </w:r>
    </w:p>
    <w:p w14:paraId="3890F396" w14:textId="77777777" w:rsidR="00985CF7" w:rsidRPr="00D85E4B" w:rsidRDefault="00985CF7" w:rsidP="00985CF7">
      <w:pPr>
        <w:spacing w:after="200" w:line="276" w:lineRule="auto"/>
        <w:contextualSpacing/>
        <w:jc w:val="both"/>
        <w:rPr>
          <w:rFonts w:ascii="Arial Narrow" w:hAnsi="Arial Narrow"/>
          <w:i/>
        </w:rPr>
      </w:pPr>
    </w:p>
    <w:p w14:paraId="7D283E5F" w14:textId="3ED79179" w:rsidR="007B2E58" w:rsidRPr="00D85E4B" w:rsidRDefault="007B2E58" w:rsidP="007B2E58">
      <w:pPr>
        <w:spacing w:after="200" w:line="276" w:lineRule="auto"/>
        <w:contextualSpacing/>
        <w:jc w:val="both"/>
        <w:rPr>
          <w:rFonts w:ascii="Arial Narrow" w:hAnsi="Arial Narrow"/>
          <w:color w:val="auto"/>
        </w:rPr>
      </w:pPr>
      <w:r w:rsidRPr="00D85E4B">
        <w:rPr>
          <w:rFonts w:ascii="Arial Narrow" w:hAnsi="Arial Narrow"/>
          <w:color w:val="auto"/>
        </w:rPr>
        <w:t xml:space="preserve">Como quiera que el mencionado elemento se encontraba debidamente asegurado, conforme a la póliza No 9900000231, se </w:t>
      </w:r>
      <w:r w:rsidR="001C6C04" w:rsidRPr="00D85E4B">
        <w:rPr>
          <w:rFonts w:ascii="Arial Narrow" w:hAnsi="Arial Narrow"/>
          <w:color w:val="auto"/>
        </w:rPr>
        <w:t>efectuó</w:t>
      </w:r>
      <w:r w:rsidRPr="00D85E4B">
        <w:rPr>
          <w:rFonts w:ascii="Arial Narrow" w:hAnsi="Arial Narrow"/>
          <w:color w:val="auto"/>
        </w:rPr>
        <w:t xml:space="preserve"> la debida reclamación, por la cual la aseguradora </w:t>
      </w:r>
      <w:r w:rsidR="001C6C04" w:rsidRPr="00D85E4B">
        <w:rPr>
          <w:rFonts w:ascii="Arial Narrow" w:hAnsi="Arial Narrow"/>
          <w:color w:val="auto"/>
        </w:rPr>
        <w:t>SOLIDARIA, una vez efectuadas los correspondientes trámites y verificaciones, respondió por el daño al equipo, pagando a la E.S.E. la suma de</w:t>
      </w:r>
      <w:r w:rsidR="00ED550C" w:rsidRPr="00D85E4B">
        <w:rPr>
          <w:rFonts w:ascii="Arial Narrow" w:hAnsi="Arial Narrow"/>
          <w:color w:val="auto"/>
        </w:rPr>
        <w:t xml:space="preserve"> </w:t>
      </w:r>
      <w:r w:rsidR="00407E7E" w:rsidRPr="00D85E4B">
        <w:rPr>
          <w:rFonts w:ascii="Arial Narrow" w:hAnsi="Arial Narrow"/>
          <w:b/>
          <w:bCs/>
          <w:color w:val="auto"/>
        </w:rPr>
        <w:t>TRECIENTOS CUARENTA Y SEIS MILLONES NOVECIENTOS VEINTIOCHO MIL OCHOCIENTOS SETENTA Y SEIS PESOS ($ 346.928.876,00)</w:t>
      </w:r>
      <w:r w:rsidR="001C6C04" w:rsidRPr="00D85E4B">
        <w:rPr>
          <w:rFonts w:ascii="Arial Narrow" w:hAnsi="Arial Narrow"/>
          <w:color w:val="auto"/>
        </w:rPr>
        <w:t>, los cuales ya fueron ingresados en caja de la Institución.</w:t>
      </w:r>
    </w:p>
    <w:p w14:paraId="1CC1AD07" w14:textId="77777777" w:rsidR="001C6C04" w:rsidRPr="00D85E4B" w:rsidRDefault="001C6C04" w:rsidP="007B2E58">
      <w:pPr>
        <w:spacing w:after="200" w:line="276" w:lineRule="auto"/>
        <w:contextualSpacing/>
        <w:jc w:val="both"/>
        <w:rPr>
          <w:rFonts w:ascii="Arial Narrow" w:hAnsi="Arial Narrow"/>
          <w:color w:val="auto"/>
        </w:rPr>
      </w:pPr>
    </w:p>
    <w:p w14:paraId="78F60D56" w14:textId="10384BAE" w:rsidR="001C6C04" w:rsidRPr="00D85E4B" w:rsidRDefault="001C6C04" w:rsidP="007B2E58">
      <w:pPr>
        <w:spacing w:after="200" w:line="276" w:lineRule="auto"/>
        <w:contextualSpacing/>
        <w:jc w:val="both"/>
        <w:rPr>
          <w:rFonts w:ascii="Arial Narrow" w:hAnsi="Arial Narrow"/>
          <w:color w:val="auto"/>
        </w:rPr>
      </w:pPr>
      <w:r w:rsidRPr="00D85E4B">
        <w:rPr>
          <w:rFonts w:ascii="Arial Narrow" w:hAnsi="Arial Narrow"/>
          <w:color w:val="auto"/>
        </w:rPr>
        <w:t xml:space="preserve">El comité de contratación y la Gerencia de la entidad, </w:t>
      </w:r>
      <w:r w:rsidR="00344882" w:rsidRPr="00D85E4B">
        <w:rPr>
          <w:rFonts w:ascii="Arial Narrow" w:hAnsi="Arial Narrow"/>
          <w:color w:val="auto"/>
        </w:rPr>
        <w:t>adelantaron</w:t>
      </w:r>
      <w:r w:rsidRPr="00D85E4B">
        <w:rPr>
          <w:rFonts w:ascii="Arial Narrow" w:hAnsi="Arial Narrow"/>
          <w:color w:val="auto"/>
        </w:rPr>
        <w:t xml:space="preserve"> las gestiones tendientes a determinar la solución </w:t>
      </w:r>
      <w:r w:rsidR="00B86C73" w:rsidRPr="00D85E4B">
        <w:rPr>
          <w:rFonts w:ascii="Arial Narrow" w:hAnsi="Arial Narrow"/>
          <w:color w:val="auto"/>
        </w:rPr>
        <w:t>más</w:t>
      </w:r>
      <w:r w:rsidRPr="00D85E4B">
        <w:rPr>
          <w:rFonts w:ascii="Arial Narrow" w:hAnsi="Arial Narrow"/>
          <w:color w:val="auto"/>
        </w:rPr>
        <w:t xml:space="preserve"> viable para las necesidades del Hospital, de donde se </w:t>
      </w:r>
      <w:r w:rsidR="00CD2BA7" w:rsidRPr="00D85E4B">
        <w:rPr>
          <w:rFonts w:ascii="Arial Narrow" w:hAnsi="Arial Narrow"/>
          <w:color w:val="auto"/>
        </w:rPr>
        <w:t>concluyó</w:t>
      </w:r>
      <w:r w:rsidRPr="00D85E4B">
        <w:rPr>
          <w:rFonts w:ascii="Arial Narrow" w:hAnsi="Arial Narrow"/>
          <w:color w:val="auto"/>
        </w:rPr>
        <w:t xml:space="preserve"> que:</w:t>
      </w:r>
    </w:p>
    <w:p w14:paraId="668783B1" w14:textId="77777777" w:rsidR="00CD2BA7" w:rsidRPr="00D85E4B" w:rsidRDefault="00CD2BA7" w:rsidP="007B2E58">
      <w:pPr>
        <w:spacing w:after="200" w:line="276" w:lineRule="auto"/>
        <w:contextualSpacing/>
        <w:jc w:val="both"/>
        <w:rPr>
          <w:rFonts w:ascii="Arial Narrow" w:hAnsi="Arial Narrow"/>
          <w:color w:val="auto"/>
        </w:rPr>
      </w:pPr>
    </w:p>
    <w:p w14:paraId="26EB3668" w14:textId="77777777" w:rsidR="00CD2BA7" w:rsidRPr="00D85E4B" w:rsidRDefault="00CD2BA7" w:rsidP="00CD2BA7">
      <w:pPr>
        <w:spacing w:after="200" w:line="276" w:lineRule="auto"/>
        <w:contextualSpacing/>
        <w:jc w:val="both"/>
        <w:rPr>
          <w:rFonts w:ascii="Arial Narrow" w:hAnsi="Arial Narrow"/>
          <w:i/>
          <w:color w:val="auto"/>
          <w:lang w:val="es-ES"/>
        </w:rPr>
      </w:pPr>
      <w:r w:rsidRPr="00D85E4B">
        <w:rPr>
          <w:rFonts w:ascii="Arial Narrow" w:hAnsi="Arial Narrow"/>
          <w:i/>
          <w:color w:val="auto"/>
          <w:lang w:val="es-ES"/>
        </w:rPr>
        <w:t xml:space="preserve">Teniendo en cuenta que la Tomografía Axial Computarizada es un estudio complementario, que en nuestro nivel de atención se considera un estudio de alta complejidad brindando mayor especificidad a fin de orientar las posibilidades diagnósticas y la conducta inicial de tratamiento de pacientes, es necesario contar con el equipo de manera prioritaria para la prestación del servicio, ya que la entidad está asumiendo la perdida por costo de oportunidad y las dificultades de acceso a pacientes al servicio, esto soportado en que la institución cuenta con una demanda potencial de 5 municipios del departamento (Moniquirá, San José de Pare, </w:t>
      </w:r>
      <w:proofErr w:type="spellStart"/>
      <w:r w:rsidRPr="00D85E4B">
        <w:rPr>
          <w:rFonts w:ascii="Arial Narrow" w:hAnsi="Arial Narrow"/>
          <w:i/>
          <w:color w:val="auto"/>
          <w:lang w:val="es-ES"/>
        </w:rPr>
        <w:t>Togui</w:t>
      </w:r>
      <w:proofErr w:type="spellEnd"/>
      <w:r w:rsidRPr="00D85E4B">
        <w:rPr>
          <w:rFonts w:ascii="Arial Narrow" w:hAnsi="Arial Narrow"/>
          <w:i/>
          <w:color w:val="auto"/>
          <w:lang w:val="es-ES"/>
        </w:rPr>
        <w:t>, Chitaraque, Santana) con una población total de 46.271 habitantes, esto adicionando la demanda natural con la población de la provincia de Vélez del departamento Santander con 55.063 habitantes, para una población total de 101.334 es importante garantizarle a estos habitantes la oportunidad diagnostica o inicio de tratamiento.</w:t>
      </w:r>
    </w:p>
    <w:p w14:paraId="790AE6BF" w14:textId="77777777" w:rsidR="00CD2BA7" w:rsidRPr="00D85E4B" w:rsidRDefault="00CD2BA7" w:rsidP="00CD2BA7">
      <w:pPr>
        <w:spacing w:after="200" w:line="276" w:lineRule="auto"/>
        <w:contextualSpacing/>
        <w:jc w:val="both"/>
        <w:rPr>
          <w:rFonts w:ascii="Arial Narrow" w:hAnsi="Arial Narrow"/>
          <w:i/>
          <w:color w:val="auto"/>
          <w:lang w:val="es-ES"/>
        </w:rPr>
      </w:pPr>
    </w:p>
    <w:p w14:paraId="2892E9A8" w14:textId="1326F798" w:rsidR="00CD2BA7" w:rsidRPr="00D85E4B" w:rsidRDefault="00CD2BA7" w:rsidP="00CD2BA7">
      <w:pPr>
        <w:spacing w:after="200" w:line="276" w:lineRule="auto"/>
        <w:contextualSpacing/>
        <w:jc w:val="both"/>
        <w:rPr>
          <w:rFonts w:ascii="Arial Narrow" w:hAnsi="Arial Narrow"/>
          <w:i/>
          <w:color w:val="auto"/>
          <w:lang w:val="es-ES"/>
        </w:rPr>
      </w:pPr>
      <w:r w:rsidRPr="00D85E4B">
        <w:rPr>
          <w:rFonts w:ascii="Arial Narrow" w:hAnsi="Arial Narrow"/>
          <w:i/>
          <w:color w:val="auto"/>
          <w:lang w:val="es-ES"/>
        </w:rPr>
        <w:t>Dentro de la oferta de servicios se presenta un crecimiento del 20% en atenciones de medicina especializada, llegando a realizar 16.942 atenciones durante la vigencia 2021, 3394 pacientes más en comparación a la vigencia 2020. De los cuales dentro de las 10 primeras causas de atención en consulta extern</w:t>
      </w:r>
      <w:r w:rsidR="00985CF7">
        <w:rPr>
          <w:rFonts w:ascii="Arial Narrow" w:hAnsi="Arial Narrow"/>
          <w:i/>
          <w:color w:val="auto"/>
          <w:lang w:val="es-ES"/>
        </w:rPr>
        <w:t xml:space="preserve">a son las patologías cerebro </w:t>
      </w:r>
      <w:proofErr w:type="spellStart"/>
      <w:r w:rsidR="00985CF7">
        <w:rPr>
          <w:rFonts w:ascii="Arial Narrow" w:hAnsi="Arial Narrow"/>
          <w:i/>
          <w:color w:val="auto"/>
          <w:lang w:val="es-ES"/>
        </w:rPr>
        <w:t>cardio</w:t>
      </w:r>
      <w:proofErr w:type="spellEnd"/>
      <w:r w:rsidR="00985CF7">
        <w:rPr>
          <w:rFonts w:ascii="Arial Narrow" w:hAnsi="Arial Narrow"/>
          <w:i/>
          <w:color w:val="auto"/>
          <w:lang w:val="es-ES"/>
        </w:rPr>
        <w:t xml:space="preserve"> pulmonares y trauma</w:t>
      </w:r>
      <w:r w:rsidRPr="00D85E4B">
        <w:rPr>
          <w:rFonts w:ascii="Arial Narrow" w:hAnsi="Arial Narrow"/>
          <w:i/>
          <w:color w:val="auto"/>
          <w:lang w:val="es-ES"/>
        </w:rPr>
        <w:t xml:space="preserve">, </w:t>
      </w:r>
      <w:r w:rsidR="00985CF7" w:rsidRPr="00D85E4B">
        <w:rPr>
          <w:rFonts w:ascii="Arial Narrow" w:hAnsi="Arial Narrow"/>
          <w:i/>
          <w:color w:val="auto"/>
          <w:lang w:val="es-ES"/>
        </w:rPr>
        <w:t>diagnóstico</w:t>
      </w:r>
      <w:r w:rsidR="00985CF7">
        <w:rPr>
          <w:rFonts w:ascii="Arial Narrow" w:hAnsi="Arial Narrow"/>
          <w:i/>
          <w:color w:val="auto"/>
          <w:lang w:val="es-ES"/>
        </w:rPr>
        <w:t>s</w:t>
      </w:r>
      <w:r w:rsidRPr="00D85E4B">
        <w:rPr>
          <w:rFonts w:ascii="Arial Narrow" w:hAnsi="Arial Narrow"/>
          <w:i/>
          <w:color w:val="auto"/>
          <w:lang w:val="es-ES"/>
        </w:rPr>
        <w:t xml:space="preserve"> con necesidad de estudio por Neuroimagen, posible con la realización de Tomografía. Con el comportamiento del último trimestre del año 2021 un 67% de los estudios realizados por tomografía corresponden a los ordenados de consulta externa, con un total de 670 estudios, en febrero del 2022 con el daño del Tomógrafo se pierde la oportunidad de realización 275 estudios por consulta externa, con un valor promedio de venta de $578.742 igual a $159.154.050, para el mes de marzo la realización de 366 tomografías para un total de perdida de costo por oportunidad de$211.819.572, para un total de$370.973.622, depreciando el valor financiero invertido por nuestros pacientes al tener que transportarse a centros de atención diagnósticos en Tunja o Duitama.</w:t>
      </w:r>
    </w:p>
    <w:p w14:paraId="271A9C83" w14:textId="77777777" w:rsidR="00CD2BA7" w:rsidRPr="00D85E4B" w:rsidRDefault="00CD2BA7" w:rsidP="00CD2BA7">
      <w:pPr>
        <w:spacing w:after="200" w:line="276" w:lineRule="auto"/>
        <w:contextualSpacing/>
        <w:jc w:val="both"/>
        <w:rPr>
          <w:rFonts w:ascii="Arial Narrow" w:hAnsi="Arial Narrow"/>
          <w:i/>
          <w:color w:val="auto"/>
          <w:lang w:val="es-ES"/>
        </w:rPr>
      </w:pPr>
    </w:p>
    <w:p w14:paraId="42F31632" w14:textId="77777777" w:rsidR="00CD2BA7" w:rsidRPr="00D85E4B" w:rsidRDefault="00CD2BA7" w:rsidP="00CD2BA7">
      <w:pPr>
        <w:spacing w:after="200" w:line="276" w:lineRule="auto"/>
        <w:contextualSpacing/>
        <w:jc w:val="both"/>
        <w:rPr>
          <w:rFonts w:ascii="Arial Narrow" w:hAnsi="Arial Narrow"/>
          <w:i/>
          <w:color w:val="auto"/>
          <w:lang w:val="es-CO"/>
        </w:rPr>
      </w:pPr>
      <w:r w:rsidRPr="00D85E4B">
        <w:rPr>
          <w:rFonts w:ascii="Arial Narrow" w:hAnsi="Arial Narrow"/>
          <w:i/>
          <w:color w:val="auto"/>
          <w:lang w:val="es-ES"/>
        </w:rPr>
        <w:t xml:space="preserve">Considerando las posibilidades planteadas de por el comité donde el costo de la reparación del equipo es </w:t>
      </w:r>
      <w:r w:rsidRPr="00D85E4B">
        <w:rPr>
          <w:rFonts w:ascii="Arial Narrow" w:hAnsi="Arial Narrow"/>
          <w:i/>
          <w:color w:val="auto"/>
        </w:rPr>
        <w:t xml:space="preserve">$120.072,82 dólares aproximadamente $449.571.849,73 pesos evaluados con la TRM del 11 de abril de este año y la cual puede ser entregada a 60 o 90 días y este no garantiza una extensión de la utilidad del equipo y del tubo de rayos x que este usa para su funcionamiento, la inversión más probable es la compra de un equipo nuevo con especificaciones técnicas y utilidades acordes a las necesidades del servicio, por un valor de $222.779,90 dólares, </w:t>
      </w:r>
      <w:r w:rsidRPr="00D85E4B">
        <w:rPr>
          <w:rFonts w:ascii="Arial Narrow" w:hAnsi="Arial Narrow"/>
          <w:i/>
          <w:color w:val="auto"/>
          <w:lang w:val="es-CO"/>
        </w:rPr>
        <w:t xml:space="preserve">$834.123.590,38 millones de pesos instalado y funcionando en un plazo de 20 días obtenemos que el costo final de la compra con la perdida diaria de oportunidad por no contar con el equipo de $ 969.023.089,29 millones mientras que si optamos por la reparación del equipo actual tendría un costo de $ 1.056.619.594,82 millones pudiendo suplir la perdida por oportunidad ante la compra de un equipo nuevo con la venta del equipo que está ahora en el hospital </w:t>
      </w:r>
    </w:p>
    <w:p w14:paraId="02A75662" w14:textId="77777777" w:rsidR="00CD2BA7" w:rsidRPr="00D85E4B" w:rsidRDefault="00CD2BA7" w:rsidP="00CD2BA7">
      <w:pPr>
        <w:spacing w:after="200" w:line="276" w:lineRule="auto"/>
        <w:contextualSpacing/>
        <w:jc w:val="both"/>
        <w:rPr>
          <w:rFonts w:ascii="Arial Narrow" w:hAnsi="Arial Narrow"/>
          <w:i/>
          <w:color w:val="auto"/>
          <w:lang w:val="es-CO"/>
        </w:rPr>
      </w:pPr>
    </w:p>
    <w:p w14:paraId="68A99563" w14:textId="77777777" w:rsidR="00CD2BA7" w:rsidRPr="00D85E4B" w:rsidRDefault="00CD2BA7" w:rsidP="00CD2BA7">
      <w:pPr>
        <w:spacing w:after="200" w:line="276" w:lineRule="auto"/>
        <w:contextualSpacing/>
        <w:jc w:val="both"/>
        <w:rPr>
          <w:rFonts w:ascii="Arial Narrow" w:hAnsi="Arial Narrow"/>
          <w:i/>
          <w:color w:val="auto"/>
          <w:lang w:val="es-CO"/>
        </w:rPr>
      </w:pPr>
      <w:r w:rsidRPr="00D85E4B">
        <w:rPr>
          <w:rFonts w:ascii="Arial Narrow" w:hAnsi="Arial Narrow"/>
          <w:i/>
          <w:noProof/>
          <w:color w:val="auto"/>
          <w:lang w:val="es-CO"/>
        </w:rPr>
        <w:lastRenderedPageBreak/>
        <w:drawing>
          <wp:inline distT="0" distB="0" distL="0" distR="0" wp14:anchorId="138D9AE6" wp14:editId="3A7C2D5E">
            <wp:extent cx="5612130" cy="131318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2130" cy="1313180"/>
                    </a:xfrm>
                    <a:prstGeom prst="rect">
                      <a:avLst/>
                    </a:prstGeom>
                    <a:noFill/>
                    <a:ln>
                      <a:noFill/>
                    </a:ln>
                  </pic:spPr>
                </pic:pic>
              </a:graphicData>
            </a:graphic>
          </wp:inline>
        </w:drawing>
      </w:r>
    </w:p>
    <w:p w14:paraId="4CD4E21D" w14:textId="77777777" w:rsidR="00CD2BA7" w:rsidRPr="00D85E4B" w:rsidRDefault="00CD2BA7" w:rsidP="00CD2BA7">
      <w:pPr>
        <w:spacing w:after="200" w:line="276" w:lineRule="auto"/>
        <w:contextualSpacing/>
        <w:jc w:val="both"/>
        <w:rPr>
          <w:rFonts w:ascii="Arial Narrow" w:hAnsi="Arial Narrow"/>
          <w:i/>
          <w:color w:val="auto"/>
          <w:lang w:val="es-CO"/>
        </w:rPr>
      </w:pPr>
      <w:r w:rsidRPr="00D85E4B">
        <w:rPr>
          <w:rFonts w:ascii="Arial Narrow" w:hAnsi="Arial Narrow"/>
          <w:i/>
          <w:color w:val="auto"/>
          <w:lang w:val="es-CO"/>
        </w:rPr>
        <w:t>Teniendo en cuenta que el Hospital ha realizado un convenio con instituciones de salud que prestan el servicio de Tomografía y este servicio se ha prestado en el Municipio de Tunja, llevando a la entidad asumir el riesgo de traslado de un paciente en ambulancia a otro municipio para la realización de un estudio, además de los costos adicionales por traslado, se tiene un gasto de $1.480.000 pesos valor de traslado redondo Moniquirá-Tunja desde la falla se han realizado 92 estudios llevados en ambulancia del hospital lo que equivale a $136.160.000 millones, en gastos de transporte en los últimos 55 días</w:t>
      </w:r>
    </w:p>
    <w:p w14:paraId="1DF359A4" w14:textId="77777777" w:rsidR="00CD2BA7" w:rsidRPr="00D85E4B" w:rsidRDefault="00CD2BA7" w:rsidP="00CD2BA7">
      <w:pPr>
        <w:spacing w:after="200" w:line="276" w:lineRule="auto"/>
        <w:contextualSpacing/>
        <w:jc w:val="both"/>
        <w:rPr>
          <w:rFonts w:ascii="Arial Narrow" w:hAnsi="Arial Narrow"/>
          <w:i/>
          <w:color w:val="auto"/>
          <w:lang w:val="es-CO"/>
        </w:rPr>
      </w:pPr>
    </w:p>
    <w:p w14:paraId="1BC299A9" w14:textId="6080DA78" w:rsidR="00CD2BA7" w:rsidRPr="00D85E4B" w:rsidRDefault="00CD2BA7" w:rsidP="00CD2BA7">
      <w:pPr>
        <w:spacing w:after="200" w:line="276" w:lineRule="auto"/>
        <w:contextualSpacing/>
        <w:jc w:val="both"/>
        <w:rPr>
          <w:rFonts w:ascii="Arial Narrow" w:hAnsi="Arial Narrow"/>
          <w:i/>
          <w:color w:val="auto"/>
          <w:lang w:val="es-CO"/>
        </w:rPr>
      </w:pPr>
      <w:r w:rsidRPr="00D85E4B">
        <w:rPr>
          <w:rFonts w:ascii="Arial Narrow" w:hAnsi="Arial Narrow"/>
          <w:i/>
          <w:color w:val="auto"/>
          <w:lang w:val="es-CO"/>
        </w:rPr>
        <w:t xml:space="preserve">Se Concluye que </w:t>
      </w:r>
      <w:r w:rsidRPr="00D85E4B">
        <w:rPr>
          <w:rFonts w:ascii="Arial Narrow" w:hAnsi="Arial Narrow"/>
          <w:b/>
          <w:i/>
          <w:color w:val="auto"/>
          <w:lang w:val="es-CO"/>
        </w:rPr>
        <w:t>la opción de compra del Tomógrafo es una opción totalmente viable</w:t>
      </w:r>
      <w:r w:rsidRPr="00D85E4B">
        <w:rPr>
          <w:rFonts w:ascii="Arial Narrow" w:hAnsi="Arial Narrow"/>
          <w:i/>
          <w:color w:val="auto"/>
          <w:lang w:val="es-CO"/>
        </w:rPr>
        <w:t>, la cual garantiza un rápido retoma de los servicios y asegura para la institución una venta de servicios mensuales promedio de $202.349.248,36, contando que el hospital tiene un promedio de ganancia sobre el 30% las ventas y valor del retorno mensual serian de aproximadamente el 70% de las ventas totales $141.644.473,85 con un retorno de la inversión cercana a los 6 meses.</w:t>
      </w:r>
    </w:p>
    <w:p w14:paraId="5E30AC21" w14:textId="77777777" w:rsidR="001C6C04" w:rsidRPr="00D85E4B" w:rsidRDefault="001C6C04" w:rsidP="007B2E58">
      <w:pPr>
        <w:spacing w:after="200" w:line="276" w:lineRule="auto"/>
        <w:contextualSpacing/>
        <w:jc w:val="both"/>
        <w:rPr>
          <w:rFonts w:ascii="Arial Narrow" w:hAnsi="Arial Narrow"/>
          <w:i/>
          <w:color w:val="auto"/>
          <w:lang w:val="es-CO"/>
        </w:rPr>
      </w:pPr>
    </w:p>
    <w:p w14:paraId="4EA482E8" w14:textId="3C196955" w:rsidR="001C6C04" w:rsidRPr="00D85E4B" w:rsidRDefault="00CD2BA7" w:rsidP="007B2E58">
      <w:pPr>
        <w:spacing w:after="200" w:line="276" w:lineRule="auto"/>
        <w:contextualSpacing/>
        <w:jc w:val="both"/>
        <w:rPr>
          <w:rFonts w:ascii="Arial Narrow" w:hAnsi="Arial Narrow"/>
          <w:bCs/>
          <w:iCs/>
          <w:color w:val="auto"/>
          <w:lang w:val="es-CO"/>
        </w:rPr>
      </w:pPr>
      <w:r w:rsidRPr="00D85E4B">
        <w:rPr>
          <w:rFonts w:ascii="Arial Narrow" w:hAnsi="Arial Narrow"/>
          <w:color w:val="auto"/>
          <w:lang w:val="es-CO"/>
        </w:rPr>
        <w:t>Este punto de vista</w:t>
      </w:r>
      <w:r w:rsidR="00344882" w:rsidRPr="00D85E4B">
        <w:rPr>
          <w:rFonts w:ascii="Arial Narrow" w:hAnsi="Arial Narrow"/>
          <w:color w:val="auto"/>
          <w:lang w:val="es-CO"/>
        </w:rPr>
        <w:t xml:space="preserve"> colegiado</w:t>
      </w:r>
      <w:r w:rsidRPr="00D85E4B">
        <w:rPr>
          <w:rFonts w:ascii="Arial Narrow" w:hAnsi="Arial Narrow"/>
          <w:color w:val="auto"/>
          <w:lang w:val="es-CO"/>
        </w:rPr>
        <w:t xml:space="preserve"> fue confirmado en forma </w:t>
      </w:r>
      <w:r w:rsidR="00344882" w:rsidRPr="00D85E4B">
        <w:rPr>
          <w:rFonts w:ascii="Arial Narrow" w:hAnsi="Arial Narrow"/>
          <w:color w:val="auto"/>
          <w:lang w:val="es-CO"/>
        </w:rPr>
        <w:t>íntegra</w:t>
      </w:r>
      <w:r w:rsidRPr="00D85E4B">
        <w:rPr>
          <w:rFonts w:ascii="Arial Narrow" w:hAnsi="Arial Narrow"/>
          <w:color w:val="auto"/>
          <w:lang w:val="es-CO"/>
        </w:rPr>
        <w:t xml:space="preserve"> por medio de contratación efectuada con la persona jurídica</w:t>
      </w:r>
      <w:r w:rsidRPr="00D85E4B">
        <w:rPr>
          <w:rFonts w:ascii="Arial Narrow" w:eastAsia="Calibri" w:hAnsi="Arial Narrow" w:cs="Arial"/>
          <w:b/>
          <w:color w:val="000000"/>
          <w:lang w:val="es-CO" w:eastAsia="es-ES"/>
        </w:rPr>
        <w:t xml:space="preserve"> </w:t>
      </w:r>
      <w:r w:rsidRPr="00D85E4B">
        <w:rPr>
          <w:rFonts w:ascii="Arial Narrow" w:hAnsi="Arial Narrow"/>
          <w:b/>
          <w:color w:val="auto"/>
          <w:lang w:val="es-CO"/>
        </w:rPr>
        <w:t xml:space="preserve">NEGO SERVICIOS Y TECNOLOGIA S.A.S., </w:t>
      </w:r>
      <w:r w:rsidRPr="00D85E4B">
        <w:rPr>
          <w:rFonts w:ascii="Arial Narrow" w:hAnsi="Arial Narrow"/>
          <w:color w:val="auto"/>
          <w:lang w:val="es-CO"/>
        </w:rPr>
        <w:t xml:space="preserve">con  el fin de efectuar </w:t>
      </w:r>
      <w:r w:rsidRPr="00D85E4B">
        <w:rPr>
          <w:rFonts w:ascii="Arial Narrow" w:hAnsi="Arial Narrow"/>
          <w:bCs/>
          <w:i/>
          <w:iCs/>
          <w:color w:val="auto"/>
          <w:lang w:val="es-CO"/>
        </w:rPr>
        <w:t>EVALUACION TECNICA Y DE OBSOLESCENCIA DEL EQUIPO TOMOGRAFO HITACHI DEL HOSPITAL REGIONAL DE MONIQUIRÁ E.S.E</w:t>
      </w:r>
      <w:r w:rsidRPr="00D85E4B">
        <w:rPr>
          <w:rFonts w:ascii="Arial Narrow" w:hAnsi="Arial Narrow"/>
          <w:bCs/>
          <w:iCs/>
          <w:color w:val="auto"/>
          <w:lang w:val="es-CO"/>
        </w:rPr>
        <w:t>., y cuyo resultado fueron los siguientes hallazgos y conclusiones</w:t>
      </w:r>
      <w:r w:rsidR="00344882" w:rsidRPr="00D85E4B">
        <w:rPr>
          <w:rFonts w:ascii="Arial Narrow" w:hAnsi="Arial Narrow"/>
          <w:bCs/>
          <w:iCs/>
          <w:color w:val="auto"/>
          <w:lang w:val="es-CO"/>
        </w:rPr>
        <w:t>:</w:t>
      </w:r>
    </w:p>
    <w:p w14:paraId="5BEE1116" w14:textId="77777777" w:rsidR="00CD2BA7" w:rsidRPr="00D85E4B" w:rsidRDefault="00CD2BA7" w:rsidP="007B2E58">
      <w:pPr>
        <w:spacing w:after="200" w:line="276" w:lineRule="auto"/>
        <w:contextualSpacing/>
        <w:jc w:val="both"/>
        <w:rPr>
          <w:rFonts w:ascii="Arial Narrow" w:hAnsi="Arial Narrow"/>
          <w:color w:val="auto"/>
          <w:lang w:val="es-CO"/>
        </w:rPr>
      </w:pPr>
    </w:p>
    <w:p w14:paraId="783608FB" w14:textId="0A7049D1" w:rsidR="00CD2BA7" w:rsidRPr="00D85E4B" w:rsidRDefault="00CD2BA7" w:rsidP="00344882">
      <w:pPr>
        <w:spacing w:after="200" w:line="276" w:lineRule="auto"/>
        <w:ind w:left="567" w:right="713"/>
        <w:contextualSpacing/>
        <w:jc w:val="both"/>
        <w:rPr>
          <w:rFonts w:ascii="Arial Narrow" w:hAnsi="Arial Narrow"/>
          <w:i/>
          <w:color w:val="auto"/>
        </w:rPr>
      </w:pPr>
      <w:r w:rsidRPr="00D85E4B">
        <w:rPr>
          <w:rFonts w:ascii="Arial Narrow" w:hAnsi="Arial Narrow"/>
          <w:i/>
          <w:color w:val="auto"/>
        </w:rPr>
        <w:t xml:space="preserve">Una vez analizada la información recopilada se puede elaborar un análisis de obsolescencia del equipo TAC Marca Hitachi, Modelo </w:t>
      </w:r>
      <w:proofErr w:type="spellStart"/>
      <w:r w:rsidRPr="00D85E4B">
        <w:rPr>
          <w:rFonts w:ascii="Arial Narrow" w:hAnsi="Arial Narrow"/>
          <w:i/>
          <w:color w:val="auto"/>
        </w:rPr>
        <w:t>Supria</w:t>
      </w:r>
      <w:proofErr w:type="spellEnd"/>
      <w:r w:rsidRPr="00D85E4B">
        <w:rPr>
          <w:rFonts w:ascii="Arial Narrow" w:hAnsi="Arial Narrow"/>
          <w:i/>
          <w:color w:val="auto"/>
        </w:rPr>
        <w:t xml:space="preserve"> 16/32, Número de Serie W1866, dicho análisis se hace basados en los siguientes elementos: </w:t>
      </w:r>
    </w:p>
    <w:p w14:paraId="13A3EF0C" w14:textId="77777777" w:rsidR="00CD2BA7" w:rsidRPr="00D85E4B" w:rsidRDefault="00CD2BA7" w:rsidP="00344882">
      <w:pPr>
        <w:spacing w:after="200" w:line="276" w:lineRule="auto"/>
        <w:ind w:left="567" w:right="713"/>
        <w:contextualSpacing/>
        <w:jc w:val="both"/>
        <w:rPr>
          <w:rFonts w:ascii="Arial Narrow" w:hAnsi="Arial Narrow"/>
          <w:i/>
          <w:color w:val="auto"/>
        </w:rPr>
      </w:pPr>
    </w:p>
    <w:p w14:paraId="3E88740E" w14:textId="10CC9605" w:rsidR="00CD2BA7" w:rsidRPr="00D85E4B" w:rsidRDefault="00CD2BA7" w:rsidP="00344882">
      <w:pPr>
        <w:spacing w:after="200" w:line="276" w:lineRule="auto"/>
        <w:ind w:left="567" w:right="713"/>
        <w:contextualSpacing/>
        <w:jc w:val="both"/>
        <w:rPr>
          <w:rFonts w:ascii="Arial Narrow" w:hAnsi="Arial Narrow"/>
          <w:i/>
          <w:color w:val="auto"/>
        </w:rPr>
      </w:pPr>
      <w:r w:rsidRPr="00D85E4B">
        <w:rPr>
          <w:rFonts w:ascii="Arial Narrow" w:hAnsi="Arial Narrow"/>
          <w:i/>
          <w:color w:val="auto"/>
        </w:rPr>
        <w:t xml:space="preserve">5.1 Fecha y costo de adquisición: El equipo fue puesto en funcionamiento en abril del 2019, y fue adquirido por un valor de $1.118’028.480 </w:t>
      </w:r>
    </w:p>
    <w:p w14:paraId="01539440" w14:textId="77777777" w:rsidR="00CD2BA7" w:rsidRPr="00D85E4B" w:rsidRDefault="00CD2BA7" w:rsidP="00344882">
      <w:pPr>
        <w:spacing w:after="200" w:line="276" w:lineRule="auto"/>
        <w:ind w:left="567" w:right="713"/>
        <w:contextualSpacing/>
        <w:jc w:val="both"/>
        <w:rPr>
          <w:rFonts w:ascii="Arial Narrow" w:hAnsi="Arial Narrow"/>
          <w:i/>
          <w:color w:val="auto"/>
        </w:rPr>
      </w:pPr>
    </w:p>
    <w:p w14:paraId="31A9A303" w14:textId="5C65F70A" w:rsidR="00CD2BA7" w:rsidRPr="00D85E4B" w:rsidRDefault="00CD2BA7" w:rsidP="00344882">
      <w:pPr>
        <w:spacing w:after="200" w:line="276" w:lineRule="auto"/>
        <w:ind w:left="567" w:right="713"/>
        <w:contextualSpacing/>
        <w:jc w:val="both"/>
        <w:rPr>
          <w:rFonts w:ascii="Arial Narrow" w:hAnsi="Arial Narrow"/>
          <w:i/>
          <w:color w:val="auto"/>
        </w:rPr>
      </w:pPr>
      <w:r w:rsidRPr="00D85E4B">
        <w:rPr>
          <w:rFonts w:ascii="Arial Narrow" w:hAnsi="Arial Narrow"/>
          <w:i/>
          <w:color w:val="auto"/>
        </w:rPr>
        <w:t xml:space="preserve">5.2 Costo actual: A la fecha tiene un valor en libros contables de $886’348.134, teniendo en cuenta la depreciación referida por el Hospital Regional de Moniquirá E.S.E. de este activo durante el tiempo transcurrido. </w:t>
      </w:r>
    </w:p>
    <w:p w14:paraId="4EC323FB" w14:textId="77777777" w:rsidR="00CD2BA7" w:rsidRPr="00D85E4B" w:rsidRDefault="00CD2BA7" w:rsidP="00344882">
      <w:pPr>
        <w:spacing w:after="200" w:line="276" w:lineRule="auto"/>
        <w:ind w:left="567" w:right="713"/>
        <w:contextualSpacing/>
        <w:jc w:val="both"/>
        <w:rPr>
          <w:rFonts w:ascii="Arial Narrow" w:hAnsi="Arial Narrow"/>
          <w:i/>
          <w:color w:val="auto"/>
        </w:rPr>
      </w:pPr>
    </w:p>
    <w:p w14:paraId="53DF65A8" w14:textId="77777777" w:rsidR="00CD2BA7" w:rsidRPr="00D85E4B" w:rsidRDefault="00CD2BA7" w:rsidP="00344882">
      <w:pPr>
        <w:spacing w:after="200" w:line="276" w:lineRule="auto"/>
        <w:ind w:left="567" w:right="713"/>
        <w:contextualSpacing/>
        <w:jc w:val="both"/>
        <w:rPr>
          <w:rFonts w:ascii="Arial Narrow" w:hAnsi="Arial Narrow"/>
          <w:i/>
          <w:color w:val="auto"/>
        </w:rPr>
      </w:pPr>
      <w:r w:rsidRPr="00D85E4B">
        <w:rPr>
          <w:rFonts w:ascii="Arial Narrow" w:hAnsi="Arial Narrow"/>
          <w:i/>
          <w:color w:val="auto"/>
        </w:rPr>
        <w:t xml:space="preserve">5.3 Tiempo de uso: El tiempo de uso del equipo es de un poco más de tres años. </w:t>
      </w:r>
    </w:p>
    <w:p w14:paraId="2F483CDC" w14:textId="77777777" w:rsidR="00CD2BA7" w:rsidRPr="00D85E4B" w:rsidRDefault="00CD2BA7" w:rsidP="00344882">
      <w:pPr>
        <w:spacing w:after="200" w:line="276" w:lineRule="auto"/>
        <w:ind w:left="567" w:right="713"/>
        <w:contextualSpacing/>
        <w:jc w:val="both"/>
        <w:rPr>
          <w:rFonts w:ascii="Arial Narrow" w:hAnsi="Arial Narrow"/>
          <w:i/>
          <w:color w:val="auto"/>
        </w:rPr>
      </w:pPr>
    </w:p>
    <w:p w14:paraId="56CFE4ED" w14:textId="38ECEA32" w:rsidR="00CD2BA7" w:rsidRPr="00D85E4B" w:rsidRDefault="00CD2BA7" w:rsidP="00344882">
      <w:pPr>
        <w:spacing w:after="200" w:line="276" w:lineRule="auto"/>
        <w:ind w:left="567" w:right="713"/>
        <w:contextualSpacing/>
        <w:jc w:val="both"/>
        <w:rPr>
          <w:rFonts w:ascii="Arial Narrow" w:hAnsi="Arial Narrow"/>
          <w:i/>
          <w:color w:val="auto"/>
        </w:rPr>
      </w:pPr>
      <w:r w:rsidRPr="00D85E4B">
        <w:rPr>
          <w:rFonts w:ascii="Arial Narrow" w:hAnsi="Arial Narrow"/>
          <w:i/>
          <w:color w:val="auto"/>
        </w:rPr>
        <w:t xml:space="preserve">5.4 Tiempo durante el cual el equipo ha estado fuera de servicio: No logra definirse con  precisión  por  cuanto  tiempo  ha  estado  fuera  de  servicio,  sin  embargo,  ha presentado  29  intervenciones  durante  este  tiempo  (cada  intervención  ha representado una parada del equipo, varias de ellas por varios días). </w:t>
      </w:r>
    </w:p>
    <w:p w14:paraId="73E1641E" w14:textId="77777777" w:rsidR="00CD2BA7" w:rsidRPr="00D85E4B" w:rsidRDefault="00CD2BA7" w:rsidP="00344882">
      <w:pPr>
        <w:spacing w:after="200" w:line="276" w:lineRule="auto"/>
        <w:ind w:left="567" w:right="713"/>
        <w:contextualSpacing/>
        <w:jc w:val="both"/>
        <w:rPr>
          <w:rFonts w:ascii="Arial Narrow" w:hAnsi="Arial Narrow"/>
          <w:i/>
          <w:color w:val="auto"/>
        </w:rPr>
      </w:pPr>
    </w:p>
    <w:p w14:paraId="0210F253" w14:textId="2C3D2D39" w:rsidR="00CD2BA7" w:rsidRPr="00D85E4B" w:rsidRDefault="00CD2BA7" w:rsidP="00344882">
      <w:pPr>
        <w:spacing w:after="200" w:line="276" w:lineRule="auto"/>
        <w:ind w:left="567" w:right="713"/>
        <w:contextualSpacing/>
        <w:jc w:val="both"/>
        <w:rPr>
          <w:rFonts w:ascii="Arial Narrow" w:hAnsi="Arial Narrow"/>
          <w:i/>
          <w:color w:val="auto"/>
        </w:rPr>
      </w:pPr>
      <w:r w:rsidRPr="00D85E4B">
        <w:rPr>
          <w:rFonts w:ascii="Arial Narrow" w:hAnsi="Arial Narrow"/>
          <w:i/>
          <w:color w:val="auto"/>
        </w:rPr>
        <w:t xml:space="preserve">5.5 Estado actual del equipo: El equipo se encuentra fuera de servicio desde el mes de  febrero  del  2022,  el  daño  está  en  sus  componentes  principales  (Tubo  de  </w:t>
      </w:r>
      <w:proofErr w:type="spellStart"/>
      <w:r w:rsidRPr="00D85E4B">
        <w:rPr>
          <w:rFonts w:ascii="Arial Narrow" w:hAnsi="Arial Narrow"/>
          <w:i/>
          <w:color w:val="auto"/>
        </w:rPr>
        <w:t>Rx</w:t>
      </w:r>
      <w:proofErr w:type="spellEnd"/>
      <w:r w:rsidRPr="00D85E4B">
        <w:rPr>
          <w:rFonts w:ascii="Arial Narrow" w:hAnsi="Arial Narrow"/>
          <w:i/>
          <w:color w:val="auto"/>
        </w:rPr>
        <w:t xml:space="preserve">  y generador), de igual manera el servicio manifiesta afectaciones en la calidad de la imagen (artefactos) y las aplicaciones que requieren reconstrucción en 3D (fuera de </w:t>
      </w:r>
    </w:p>
    <w:p w14:paraId="3B0FB0CD" w14:textId="130CCE91" w:rsidR="00CD2BA7" w:rsidRPr="00D85E4B" w:rsidRDefault="00CD2BA7" w:rsidP="00344882">
      <w:pPr>
        <w:spacing w:after="200" w:line="276" w:lineRule="auto"/>
        <w:ind w:left="567" w:right="713"/>
        <w:contextualSpacing/>
        <w:jc w:val="both"/>
        <w:rPr>
          <w:rFonts w:ascii="Arial Narrow" w:hAnsi="Arial Narrow"/>
          <w:i/>
          <w:color w:val="auto"/>
        </w:rPr>
      </w:pPr>
      <w:r w:rsidRPr="00D85E4B">
        <w:rPr>
          <w:rFonts w:ascii="Arial Narrow" w:hAnsi="Arial Narrow"/>
          <w:i/>
          <w:color w:val="auto"/>
        </w:rPr>
        <w:t xml:space="preserve">servicio), lo que sugiere intervenciones adicionales y posiblemente la necesidad de repuestos que no han sido diagnosticados por el daño que actualmente presenta el equipo. </w:t>
      </w:r>
    </w:p>
    <w:p w14:paraId="6D5D5203" w14:textId="77777777" w:rsidR="00CD2BA7" w:rsidRPr="00D85E4B" w:rsidRDefault="00CD2BA7" w:rsidP="00344882">
      <w:pPr>
        <w:spacing w:after="200" w:line="276" w:lineRule="auto"/>
        <w:ind w:left="567" w:right="713"/>
        <w:contextualSpacing/>
        <w:jc w:val="both"/>
        <w:rPr>
          <w:rFonts w:ascii="Arial Narrow" w:hAnsi="Arial Narrow"/>
          <w:i/>
          <w:color w:val="auto"/>
        </w:rPr>
      </w:pPr>
    </w:p>
    <w:p w14:paraId="2B10EE4A" w14:textId="656BF7C9" w:rsidR="00CD2BA7" w:rsidRPr="00D85E4B" w:rsidRDefault="00CD2BA7" w:rsidP="00344882">
      <w:pPr>
        <w:spacing w:after="200" w:line="276" w:lineRule="auto"/>
        <w:ind w:left="567" w:right="713"/>
        <w:contextualSpacing/>
        <w:jc w:val="both"/>
        <w:rPr>
          <w:rFonts w:ascii="Arial Narrow" w:hAnsi="Arial Narrow"/>
          <w:i/>
          <w:color w:val="auto"/>
        </w:rPr>
      </w:pPr>
      <w:r w:rsidRPr="00D85E4B">
        <w:rPr>
          <w:rFonts w:ascii="Arial Narrow" w:hAnsi="Arial Narrow"/>
          <w:i/>
          <w:color w:val="auto"/>
        </w:rPr>
        <w:t xml:space="preserve">5.6 Reparación  del  equipo:  Según  cotizaciones  entregadas  por  el  proveedor,  cuesta alrededor de USD 120.072,82, que a la TRM del dólar del día 9 de mayo del 2022 (TRM= 4.083,95) equivale a una reparación por el orden de los $490.371.393 más IVA, lo que representa más del 60% del valor actual del equipo, con el riesgo que los  artefactos  evidenciados  en  algunos  estudios  y  la  inoperatividad  del  </w:t>
      </w:r>
      <w:proofErr w:type="spellStart"/>
      <w:r w:rsidRPr="00D85E4B">
        <w:rPr>
          <w:rFonts w:ascii="Arial Narrow" w:hAnsi="Arial Narrow"/>
          <w:i/>
          <w:color w:val="auto"/>
        </w:rPr>
        <w:t>Synapse</w:t>
      </w:r>
      <w:proofErr w:type="spellEnd"/>
      <w:r w:rsidRPr="00D85E4B">
        <w:rPr>
          <w:rFonts w:ascii="Arial Narrow" w:hAnsi="Arial Narrow"/>
          <w:i/>
          <w:color w:val="auto"/>
        </w:rPr>
        <w:t xml:space="preserve">  3D</w:t>
      </w:r>
      <w:r w:rsidRPr="00D85E4B">
        <w:rPr>
          <w:rFonts w:ascii="Arial Narrow" w:hAnsi="Arial Narrow"/>
        </w:rPr>
        <w:t xml:space="preserve"> </w:t>
      </w:r>
      <w:r w:rsidRPr="00D85E4B">
        <w:rPr>
          <w:rFonts w:ascii="Arial Narrow" w:hAnsi="Arial Narrow"/>
          <w:i/>
          <w:color w:val="auto"/>
        </w:rPr>
        <w:t xml:space="preserve">representen reparaciones adicionales en el corto-mediano plazo, lo que equivale  mayor inversión para el adecuado funcionamiento del equipo. </w:t>
      </w:r>
    </w:p>
    <w:p w14:paraId="7A0DC90F" w14:textId="77777777" w:rsidR="00CD2BA7" w:rsidRPr="00D85E4B" w:rsidRDefault="00CD2BA7" w:rsidP="00344882">
      <w:pPr>
        <w:spacing w:after="200" w:line="276" w:lineRule="auto"/>
        <w:ind w:left="567" w:right="713"/>
        <w:contextualSpacing/>
        <w:jc w:val="both"/>
        <w:rPr>
          <w:rFonts w:ascii="Arial Narrow" w:hAnsi="Arial Narrow"/>
          <w:i/>
          <w:color w:val="auto"/>
        </w:rPr>
      </w:pPr>
    </w:p>
    <w:p w14:paraId="50F34C7E" w14:textId="59AB2E3C" w:rsidR="00CD2BA7" w:rsidRPr="00D85E4B" w:rsidRDefault="00CD2BA7" w:rsidP="00344882">
      <w:pPr>
        <w:spacing w:after="200" w:line="276" w:lineRule="auto"/>
        <w:ind w:left="567" w:right="713"/>
        <w:contextualSpacing/>
        <w:jc w:val="both"/>
        <w:rPr>
          <w:rFonts w:ascii="Arial Narrow" w:hAnsi="Arial Narrow"/>
          <w:i/>
          <w:color w:val="auto"/>
        </w:rPr>
      </w:pPr>
      <w:r w:rsidRPr="00D85E4B">
        <w:rPr>
          <w:rFonts w:ascii="Arial Narrow" w:hAnsi="Arial Narrow"/>
          <w:i/>
          <w:color w:val="auto"/>
        </w:rPr>
        <w:t xml:space="preserve">5.7 Representación de la marca: Aunque existe representante de la marca en el país los  tiempos de respuesta ante diferentes eventos, suministro de repuestos y asertividad diagnóstica no  dan  la  tranquilidad que  este tipo de  tecnologías  debe tener  para garantizar una adecuada operación y prestación del servicio. </w:t>
      </w:r>
    </w:p>
    <w:p w14:paraId="17199F3F" w14:textId="77777777" w:rsidR="00344882" w:rsidRPr="00D85E4B" w:rsidRDefault="00344882" w:rsidP="00344882">
      <w:pPr>
        <w:spacing w:after="200" w:line="276" w:lineRule="auto"/>
        <w:ind w:left="567" w:right="713"/>
        <w:contextualSpacing/>
        <w:jc w:val="both"/>
        <w:rPr>
          <w:rFonts w:ascii="Arial Narrow" w:hAnsi="Arial Narrow"/>
          <w:i/>
          <w:color w:val="auto"/>
        </w:rPr>
      </w:pPr>
    </w:p>
    <w:p w14:paraId="7483A5E3" w14:textId="28BAF770" w:rsidR="00CD2BA7" w:rsidRPr="00D85E4B" w:rsidRDefault="00CD2BA7" w:rsidP="00344882">
      <w:pPr>
        <w:spacing w:after="200" w:line="276" w:lineRule="auto"/>
        <w:ind w:left="567" w:right="713"/>
        <w:contextualSpacing/>
        <w:jc w:val="both"/>
        <w:rPr>
          <w:rFonts w:ascii="Arial Narrow" w:hAnsi="Arial Narrow"/>
          <w:i/>
          <w:color w:val="auto"/>
        </w:rPr>
      </w:pPr>
      <w:r w:rsidRPr="00D85E4B">
        <w:rPr>
          <w:rFonts w:ascii="Arial Narrow" w:hAnsi="Arial Narrow"/>
          <w:i/>
          <w:color w:val="auto"/>
        </w:rPr>
        <w:t xml:space="preserve">5.8 Limitación: De igual manera se evidencia que el equipo no tiene la capacidad para atender  parte  de  la  población  objetivo,  teniendo  en  cuenta  las  dificultades presentadas con la camilla para el manejo de pacientes obesos y las fallas en las reconstrucciones en 3D. </w:t>
      </w:r>
    </w:p>
    <w:p w14:paraId="27B33990" w14:textId="77777777" w:rsidR="00344882" w:rsidRPr="00D85E4B" w:rsidRDefault="00344882" w:rsidP="00344882">
      <w:pPr>
        <w:spacing w:after="200" w:line="276" w:lineRule="auto"/>
        <w:ind w:left="567" w:right="713"/>
        <w:contextualSpacing/>
        <w:jc w:val="both"/>
        <w:rPr>
          <w:rFonts w:ascii="Arial Narrow" w:hAnsi="Arial Narrow"/>
          <w:i/>
          <w:color w:val="auto"/>
        </w:rPr>
      </w:pPr>
    </w:p>
    <w:p w14:paraId="04454E52" w14:textId="78EE25E8" w:rsidR="00CD2BA7" w:rsidRPr="00D85E4B" w:rsidRDefault="00CD2BA7" w:rsidP="00344882">
      <w:pPr>
        <w:spacing w:after="200" w:line="276" w:lineRule="auto"/>
        <w:ind w:left="567" w:right="713"/>
        <w:contextualSpacing/>
        <w:jc w:val="both"/>
        <w:rPr>
          <w:rFonts w:ascii="Arial Narrow" w:hAnsi="Arial Narrow"/>
          <w:i/>
          <w:color w:val="auto"/>
        </w:rPr>
      </w:pPr>
      <w:r w:rsidRPr="00D85E4B">
        <w:rPr>
          <w:rFonts w:ascii="Arial Narrow" w:hAnsi="Arial Narrow"/>
          <w:i/>
          <w:color w:val="auto"/>
        </w:rPr>
        <w:t xml:space="preserve">5.9 Infraestructura:  Así  mismo,  el  hospital  ha  hecho  inversiones  importantes  en sistemas de soporte para garantizar la confiabilidad de la alimentación eléctrica (UPS de respaldo de 120KVA) y las adecuaciones en el área que protegen al personal y público en general, las cuales pueden aprovecharse para otras instalaciones. </w:t>
      </w:r>
    </w:p>
    <w:p w14:paraId="633129CB" w14:textId="77777777" w:rsidR="00344882" w:rsidRPr="00D85E4B" w:rsidRDefault="00344882" w:rsidP="00344882">
      <w:pPr>
        <w:spacing w:after="200" w:line="276" w:lineRule="auto"/>
        <w:ind w:left="567" w:right="713"/>
        <w:contextualSpacing/>
        <w:jc w:val="both"/>
        <w:rPr>
          <w:rFonts w:ascii="Arial Narrow" w:hAnsi="Arial Narrow"/>
          <w:i/>
          <w:color w:val="auto"/>
        </w:rPr>
      </w:pPr>
    </w:p>
    <w:p w14:paraId="753B248C" w14:textId="08E5B16F" w:rsidR="001C6C04" w:rsidRPr="00D85E4B" w:rsidRDefault="00CD2BA7" w:rsidP="00344882">
      <w:pPr>
        <w:spacing w:after="200" w:line="276" w:lineRule="auto"/>
        <w:ind w:left="567" w:right="713"/>
        <w:contextualSpacing/>
        <w:jc w:val="both"/>
        <w:rPr>
          <w:rFonts w:ascii="Arial Narrow" w:hAnsi="Arial Narrow"/>
          <w:i/>
          <w:color w:val="auto"/>
        </w:rPr>
      </w:pPr>
      <w:r w:rsidRPr="00D85E4B">
        <w:rPr>
          <w:rFonts w:ascii="Arial Narrow" w:hAnsi="Arial Narrow"/>
          <w:i/>
          <w:color w:val="auto"/>
        </w:rPr>
        <w:t>5.10  Otros: Aunque no hay registro de eventos adversos, si se tiene el riesgo que se  presente  una  sobreexposición  a  radiaciones  ionizantes  en  los  pacientes,  o diagnósticos errados por los artefactos que mencionan en algunos de los reportes entregados, lo cual con el cambio de tubo y generador no puede garantizarse.</w:t>
      </w:r>
    </w:p>
    <w:p w14:paraId="471AA9E8" w14:textId="77777777" w:rsidR="001C6C04" w:rsidRPr="00D85E4B" w:rsidRDefault="001C6C04" w:rsidP="00344882">
      <w:pPr>
        <w:spacing w:after="200" w:line="276" w:lineRule="auto"/>
        <w:ind w:left="567" w:right="713"/>
        <w:contextualSpacing/>
        <w:jc w:val="both"/>
        <w:rPr>
          <w:rFonts w:ascii="Arial Narrow" w:hAnsi="Arial Narrow"/>
          <w:i/>
          <w:color w:val="auto"/>
        </w:rPr>
      </w:pPr>
    </w:p>
    <w:p w14:paraId="4CA13A41" w14:textId="09D8087C" w:rsidR="00344882" w:rsidRPr="00D85E4B" w:rsidRDefault="00344882" w:rsidP="00344882">
      <w:pPr>
        <w:spacing w:after="200" w:line="276" w:lineRule="auto"/>
        <w:ind w:left="567" w:right="713"/>
        <w:contextualSpacing/>
        <w:jc w:val="both"/>
        <w:rPr>
          <w:rFonts w:ascii="Arial Narrow" w:hAnsi="Arial Narrow"/>
          <w:i/>
          <w:color w:val="auto"/>
        </w:rPr>
      </w:pPr>
      <w:r w:rsidRPr="00D85E4B">
        <w:rPr>
          <w:rFonts w:ascii="Arial Narrow" w:hAnsi="Arial Narrow"/>
          <w:i/>
          <w:color w:val="auto"/>
        </w:rPr>
        <w:t xml:space="preserve">Con  base  en  los  anteriores  argumentos,  haciendo  un  análisis  integral  de  la  situación  y conociendo que un equipo nuevo de características un poco superiores está por el orden de los USD 190.000 más IVA, que a la TRM del mismo día representa cerca de $775’950.500 pesos  el  cambio  del  equipo.  Ahora  teniendo  en  cuenta  que  los  sistemas  de  respaldo  y seguridad con los que cuenta la institución pueden reutilizarse, lo que representa que las inversiones en instalación y puesta en funcionamiento no van a ser representativas y que existen  compañías  con  mejores  respaldos  y  credibilidad  al  momento  del  soporte  que garantizan los sistemas de tomografía por lo menos por dos años.  </w:t>
      </w:r>
    </w:p>
    <w:p w14:paraId="3FCA365E" w14:textId="77777777" w:rsidR="00344882" w:rsidRPr="00D85E4B" w:rsidRDefault="00344882" w:rsidP="00344882">
      <w:pPr>
        <w:spacing w:after="200" w:line="276" w:lineRule="auto"/>
        <w:ind w:left="567" w:right="713"/>
        <w:contextualSpacing/>
        <w:jc w:val="both"/>
        <w:rPr>
          <w:rFonts w:ascii="Arial Narrow" w:hAnsi="Arial Narrow"/>
          <w:i/>
          <w:color w:val="auto"/>
        </w:rPr>
      </w:pPr>
    </w:p>
    <w:p w14:paraId="64F50E22" w14:textId="7769ABC2" w:rsidR="001C6C04" w:rsidRPr="00D85E4B" w:rsidRDefault="00344882" w:rsidP="00344882">
      <w:pPr>
        <w:spacing w:after="200" w:line="276" w:lineRule="auto"/>
        <w:ind w:left="567" w:right="713"/>
        <w:contextualSpacing/>
        <w:jc w:val="both"/>
        <w:rPr>
          <w:rFonts w:ascii="Arial Narrow" w:hAnsi="Arial Narrow"/>
          <w:i/>
          <w:color w:val="auto"/>
        </w:rPr>
      </w:pPr>
      <w:r w:rsidRPr="00D85E4B">
        <w:rPr>
          <w:rFonts w:ascii="Arial Narrow" w:hAnsi="Arial Narrow"/>
          <w:i/>
          <w:color w:val="auto"/>
        </w:rPr>
        <w:t xml:space="preserve">En ese orden de ideas es pertinente en este caso </w:t>
      </w:r>
      <w:r w:rsidRPr="00D85E4B">
        <w:rPr>
          <w:rFonts w:ascii="Arial Narrow" w:hAnsi="Arial Narrow"/>
          <w:b/>
          <w:i/>
          <w:color w:val="auto"/>
        </w:rPr>
        <w:t>sugerir el cambio del equipo</w:t>
      </w:r>
      <w:r w:rsidRPr="00D85E4B">
        <w:rPr>
          <w:rFonts w:ascii="Arial Narrow" w:hAnsi="Arial Narrow"/>
          <w:i/>
          <w:color w:val="auto"/>
        </w:rPr>
        <w:t xml:space="preserve"> ya que su nivel  de  obsolescencia  es  alto,  teniendo  en  cuenta  los  argumentos  enumerados anteriormente. Es muy riesgoso continuar con un equipo que no ha dado confiabilidad y puede generar eventos adversos, adicional a las inversiones que siguen siendo inciertas por la inoperatividad que se evidencia en los sistemas o las fallas que no fueron corregidas en su totalidad antes de que quedara fuera de servicio por completo.</w:t>
      </w:r>
    </w:p>
    <w:p w14:paraId="282C1AED" w14:textId="77777777" w:rsidR="001C6C04" w:rsidRPr="00D85E4B" w:rsidRDefault="001C6C04" w:rsidP="007B2E58">
      <w:pPr>
        <w:spacing w:after="200" w:line="276" w:lineRule="auto"/>
        <w:contextualSpacing/>
        <w:jc w:val="both"/>
        <w:rPr>
          <w:rFonts w:ascii="Arial Narrow" w:hAnsi="Arial Narrow"/>
          <w:color w:val="auto"/>
        </w:rPr>
      </w:pPr>
    </w:p>
    <w:p w14:paraId="643B1E5A" w14:textId="19CB2DD8" w:rsidR="00C17D8B" w:rsidRPr="00D85E4B" w:rsidRDefault="00021525" w:rsidP="00C17D8B">
      <w:pPr>
        <w:spacing w:after="200" w:line="276" w:lineRule="auto"/>
        <w:contextualSpacing/>
        <w:jc w:val="both"/>
        <w:rPr>
          <w:rFonts w:ascii="Arial Narrow" w:hAnsi="Arial Narrow"/>
          <w:color w:val="auto"/>
          <w:lang w:val="es-CO"/>
        </w:rPr>
      </w:pPr>
      <w:r w:rsidRPr="00D85E4B">
        <w:rPr>
          <w:rFonts w:ascii="Arial Narrow" w:hAnsi="Arial Narrow"/>
          <w:color w:val="auto"/>
        </w:rPr>
        <w:t xml:space="preserve">El 18 de abril de los corrientes, </w:t>
      </w:r>
      <w:r w:rsidR="00C17D8B" w:rsidRPr="00D85E4B">
        <w:rPr>
          <w:rFonts w:ascii="Arial Narrow" w:hAnsi="Arial Narrow"/>
          <w:color w:val="auto"/>
        </w:rPr>
        <w:t>El Hospital solicitó formalmente</w:t>
      </w:r>
      <w:r w:rsidR="00EC5D07" w:rsidRPr="00D85E4B">
        <w:rPr>
          <w:rFonts w:ascii="Arial Narrow" w:hAnsi="Arial Narrow"/>
          <w:color w:val="auto"/>
        </w:rPr>
        <w:t xml:space="preserve"> </w:t>
      </w:r>
      <w:r w:rsidRPr="00D85E4B">
        <w:rPr>
          <w:rFonts w:ascii="Arial Narrow" w:hAnsi="Arial Narrow"/>
          <w:color w:val="auto"/>
        </w:rPr>
        <w:t xml:space="preserve">a la Secretaria Departamental de Salud </w:t>
      </w:r>
      <w:r w:rsidR="00C17D8B" w:rsidRPr="00D85E4B">
        <w:rPr>
          <w:rFonts w:ascii="Arial Narrow" w:hAnsi="Arial Narrow"/>
          <w:color w:val="auto"/>
        </w:rPr>
        <w:t>el</w:t>
      </w:r>
      <w:r w:rsidR="00EC5D07" w:rsidRPr="00D85E4B">
        <w:rPr>
          <w:rFonts w:ascii="Arial Narrow" w:hAnsi="Arial Narrow"/>
          <w:color w:val="auto"/>
        </w:rPr>
        <w:t xml:space="preserve"> </w:t>
      </w:r>
      <w:r w:rsidR="00C17D8B" w:rsidRPr="00D85E4B">
        <w:rPr>
          <w:rFonts w:ascii="Arial Narrow" w:hAnsi="Arial Narrow"/>
          <w:color w:val="auto"/>
          <w:lang w:val="es-ES"/>
        </w:rPr>
        <w:t>registro de proyecto en el Plan Bienal de Inversiones para la asignación de recursos, con el objeto de la compra de un nuevo equipo de tomografía, actividad que requiere la aprobación de la Secretaria Departamental de Salud y del Ministerio de Salud, bajo la consideración que: “</w:t>
      </w:r>
      <w:r w:rsidR="00C17D8B" w:rsidRPr="00D85E4B">
        <w:rPr>
          <w:rFonts w:ascii="Arial Narrow" w:hAnsi="Arial Narrow"/>
          <w:i/>
          <w:color w:val="auto"/>
          <w:lang w:val="es-ES"/>
        </w:rPr>
        <w:t xml:space="preserve">este registro debe hacerse de manera prioritaria para disminuir el lucro cesante al que está expuesta la entidad, para ello debe ser solicitada la habilitación de la plataforma ante el Ministerio de Salud y de la Protección Social, para que el hospital logre cargar la información necesaria,  en el marco de la </w:t>
      </w:r>
      <w:r w:rsidR="00C17D8B" w:rsidRPr="00D85E4B">
        <w:rPr>
          <w:rFonts w:ascii="Arial Narrow" w:hAnsi="Arial Narrow"/>
          <w:i/>
          <w:color w:val="auto"/>
          <w:lang w:val="es-CO"/>
        </w:rPr>
        <w:t>Resolución 750 de 2020, que entraña un trámite especial para presentación de proyectos de infraestructura física, equipo industrial hospitalario y dotación de equipos biomédicos (…) con el fin de garantizar la prestación de servicios de salud a la población afectada por coronavirus COVID 19, y bajo la claridad que sin duda el tomógrafo es un elemento requerido para la atención de pacientes COVID entre otro</w:t>
      </w:r>
      <w:r w:rsidR="00C17D8B" w:rsidRPr="00D85E4B">
        <w:rPr>
          <w:rFonts w:ascii="Arial Narrow" w:hAnsi="Arial Narrow"/>
          <w:color w:val="auto"/>
          <w:lang w:val="es-CO"/>
        </w:rPr>
        <w:t>s”.</w:t>
      </w:r>
    </w:p>
    <w:p w14:paraId="75DCB4AA" w14:textId="77777777" w:rsidR="00733A39" w:rsidRPr="00D85E4B" w:rsidRDefault="00733A39" w:rsidP="007B2E58">
      <w:pPr>
        <w:spacing w:after="200" w:line="276" w:lineRule="auto"/>
        <w:contextualSpacing/>
        <w:jc w:val="both"/>
        <w:rPr>
          <w:rFonts w:ascii="Arial Narrow" w:hAnsi="Arial Narrow"/>
          <w:color w:val="auto"/>
        </w:rPr>
      </w:pPr>
    </w:p>
    <w:p w14:paraId="651D4BCC" w14:textId="2D3DC59E" w:rsidR="00EC5D07" w:rsidRPr="00D85E4B" w:rsidRDefault="00733A39" w:rsidP="007B2E58">
      <w:pPr>
        <w:spacing w:after="200" w:line="276" w:lineRule="auto"/>
        <w:contextualSpacing/>
        <w:jc w:val="both"/>
        <w:rPr>
          <w:rFonts w:ascii="Arial Narrow" w:hAnsi="Arial Narrow"/>
          <w:color w:val="auto"/>
        </w:rPr>
      </w:pPr>
      <w:r w:rsidRPr="00D85E4B">
        <w:rPr>
          <w:rFonts w:ascii="Arial Narrow" w:hAnsi="Arial Narrow"/>
          <w:color w:val="auto"/>
        </w:rPr>
        <w:t>De conformidad con el documento “</w:t>
      </w:r>
      <w:r w:rsidRPr="00D85E4B">
        <w:rPr>
          <w:rFonts w:ascii="Arial Narrow" w:hAnsi="Arial Narrow"/>
          <w:i/>
          <w:color w:val="auto"/>
        </w:rPr>
        <w:t xml:space="preserve">proyecto de Compra tomógrafo </w:t>
      </w:r>
      <w:r w:rsidR="00CF430F" w:rsidRPr="00D85E4B">
        <w:rPr>
          <w:rFonts w:ascii="Arial Narrow" w:hAnsi="Arial Narrow"/>
          <w:i/>
          <w:color w:val="auto"/>
        </w:rPr>
        <w:t>Axial Computarizado</w:t>
      </w:r>
      <w:r w:rsidR="00CF430F" w:rsidRPr="00D85E4B">
        <w:rPr>
          <w:rFonts w:ascii="Arial Narrow" w:hAnsi="Arial Narrow"/>
          <w:color w:val="auto"/>
        </w:rPr>
        <w:t>” efectuado por el Hospital para el registro en el Plan Bienal, “</w:t>
      </w:r>
      <w:r w:rsidRPr="00D85E4B">
        <w:rPr>
          <w:rFonts w:ascii="Arial Narrow" w:hAnsi="Arial Narrow"/>
          <w:color w:val="auto"/>
        </w:rPr>
        <w:t xml:space="preserve">la inversión más probable es la compra de un equipo nuevo con especificaciones técnicas y utilidades acordes a las necesidades del servicio, por un valor de $222.779,90 dólares, </w:t>
      </w:r>
      <w:r w:rsidRPr="00D85E4B">
        <w:rPr>
          <w:rFonts w:ascii="Arial Narrow" w:hAnsi="Arial Narrow"/>
          <w:color w:val="auto"/>
          <w:lang w:val="es-CO"/>
        </w:rPr>
        <w:t>$834.123.590,38 millones de pesos instalado</w:t>
      </w:r>
      <w:r w:rsidR="00CF430F" w:rsidRPr="00D85E4B">
        <w:rPr>
          <w:rFonts w:ascii="Arial Narrow" w:hAnsi="Arial Narrow"/>
          <w:color w:val="auto"/>
          <w:lang w:val="es-CO"/>
        </w:rPr>
        <w:t xml:space="preserve">”. Como quiera que por cuenta de la indemnización recibida por el seguro del Tomógrafo, ya se cuenta con </w:t>
      </w:r>
      <w:r w:rsidR="00407E7E" w:rsidRPr="00D85E4B">
        <w:rPr>
          <w:rFonts w:ascii="Arial Narrow" w:hAnsi="Arial Narrow"/>
          <w:color w:val="auto"/>
          <w:lang w:val="es-CO"/>
        </w:rPr>
        <w:t xml:space="preserve"> la suma de </w:t>
      </w:r>
      <w:r w:rsidR="00407E7E" w:rsidRPr="00D85E4B">
        <w:rPr>
          <w:rFonts w:ascii="Arial Narrow" w:hAnsi="Arial Narrow"/>
          <w:b/>
          <w:bCs/>
          <w:color w:val="auto"/>
        </w:rPr>
        <w:t>TRE</w:t>
      </w:r>
      <w:r w:rsidR="00C11539">
        <w:rPr>
          <w:rFonts w:ascii="Arial Narrow" w:hAnsi="Arial Narrow"/>
          <w:b/>
          <w:bCs/>
          <w:color w:val="auto"/>
        </w:rPr>
        <w:t>S</w:t>
      </w:r>
      <w:r w:rsidR="00407E7E" w:rsidRPr="00D85E4B">
        <w:rPr>
          <w:rFonts w:ascii="Arial Narrow" w:hAnsi="Arial Narrow"/>
          <w:b/>
          <w:bCs/>
          <w:color w:val="auto"/>
        </w:rPr>
        <w:t>CIENTOS CUARENTA Y SEIS MILLONES NOVECIENTOS VEINTIOCHO MIL OCHOCIENTOS SETENTA Y SEIS PESOS ($ 346.928.876,00)</w:t>
      </w:r>
      <w:r w:rsidR="00CF430F" w:rsidRPr="00D85E4B">
        <w:rPr>
          <w:rFonts w:ascii="Arial Narrow" w:hAnsi="Arial Narrow"/>
          <w:color w:val="auto"/>
          <w:lang w:val="es-CO"/>
        </w:rPr>
        <w:t>, el Hospital requerirá un empréstito por valor cercano al remanente del valor cotizado, es decir por la suma de SEISCIENTOS CINCUENTA MILLONES DE PESOS ($650.000.000), teniendo en cuenta que se planea que la nueva adquisición cuente con un mantenimiento extendido por dos años, y se requiere asumir los costos de desmonte del aparato dañado, entre otros gastos adicionales propios de la entrada en labor del nuevo elemento adquirido</w:t>
      </w:r>
      <w:r w:rsidR="00CF430F" w:rsidRPr="00D85E4B">
        <w:rPr>
          <w:rFonts w:ascii="Arial Narrow" w:hAnsi="Arial Narrow"/>
          <w:color w:val="auto"/>
        </w:rPr>
        <w:t xml:space="preserve"> .</w:t>
      </w:r>
    </w:p>
    <w:p w14:paraId="5CB1E1C9" w14:textId="77777777" w:rsidR="00EC5D07" w:rsidRPr="00D85E4B" w:rsidRDefault="00EC5D07" w:rsidP="007B2E58">
      <w:pPr>
        <w:spacing w:after="200" w:line="276" w:lineRule="auto"/>
        <w:contextualSpacing/>
        <w:jc w:val="both"/>
        <w:rPr>
          <w:rFonts w:ascii="Arial Narrow" w:hAnsi="Arial Narrow"/>
          <w:color w:val="auto"/>
        </w:rPr>
      </w:pPr>
    </w:p>
    <w:p w14:paraId="397859CE" w14:textId="5FD8B175" w:rsidR="00344882" w:rsidRPr="00D85E4B" w:rsidRDefault="00344882" w:rsidP="007B2E58">
      <w:pPr>
        <w:spacing w:after="200" w:line="276" w:lineRule="auto"/>
        <w:contextualSpacing/>
        <w:jc w:val="both"/>
        <w:rPr>
          <w:rFonts w:ascii="Arial Narrow" w:hAnsi="Arial Narrow"/>
          <w:color w:val="auto"/>
        </w:rPr>
      </w:pPr>
      <w:r w:rsidRPr="00D85E4B">
        <w:rPr>
          <w:rFonts w:ascii="Arial Narrow" w:hAnsi="Arial Narrow"/>
          <w:color w:val="auto"/>
        </w:rPr>
        <w:t>Decidida en forma técnica</w:t>
      </w:r>
      <w:r w:rsidR="006E31EB" w:rsidRPr="00D85E4B">
        <w:rPr>
          <w:rFonts w:ascii="Arial Narrow" w:hAnsi="Arial Narrow"/>
          <w:color w:val="auto"/>
        </w:rPr>
        <w:t xml:space="preserve"> por parte de la E.S.E., </w:t>
      </w:r>
      <w:r w:rsidRPr="00D85E4B">
        <w:rPr>
          <w:rFonts w:ascii="Arial Narrow" w:hAnsi="Arial Narrow"/>
          <w:color w:val="auto"/>
        </w:rPr>
        <w:t xml:space="preserve"> la viabilidad de adquirir un nuevo equipo para la institución, se hace necesario determinar el mecanismo de apropiación de los recursos necesarios para la adquisición del nuevo tomógrafo, teniendo en cuenta que la Junta Directiva es el organismo rector de la reglamentación y adopción de decisiones institucionales, sobre organización, funcionamiento, planificación e instrucciones al ejecutivo, para el ejercicio de sus competencias.  En el mismo sentido, igual que en los diferentes niveles de la administración pública, las corporaciones públicas correspondientes son las que autorizan al ejecutivo para la contratación de empréstitos, enajenación de bienes y otras atribuciones, y en el presente caso es la Junta Directiva la que por </w:t>
      </w:r>
      <w:r w:rsidR="006E31EB" w:rsidRPr="00D85E4B">
        <w:rPr>
          <w:rFonts w:ascii="Arial Narrow" w:hAnsi="Arial Narrow"/>
          <w:color w:val="auto"/>
        </w:rPr>
        <w:t>Acuerdo autoriza al gerente para contratar empréstitos.</w:t>
      </w:r>
    </w:p>
    <w:p w14:paraId="58972D9A" w14:textId="77777777" w:rsidR="006E31EB" w:rsidRPr="00D85E4B" w:rsidRDefault="006E31EB" w:rsidP="007B2E58">
      <w:pPr>
        <w:spacing w:after="200" w:line="276" w:lineRule="auto"/>
        <w:contextualSpacing/>
        <w:jc w:val="both"/>
        <w:rPr>
          <w:rFonts w:ascii="Arial Narrow" w:hAnsi="Arial Narrow"/>
          <w:color w:val="auto"/>
        </w:rPr>
      </w:pPr>
    </w:p>
    <w:p w14:paraId="082D9FE3" w14:textId="461100B3" w:rsidR="00B86C73" w:rsidRPr="00D85E4B" w:rsidRDefault="006E31EB" w:rsidP="00B86C73">
      <w:pPr>
        <w:spacing w:after="200" w:line="276" w:lineRule="auto"/>
        <w:contextualSpacing/>
        <w:jc w:val="both"/>
        <w:rPr>
          <w:rFonts w:ascii="Arial Narrow" w:hAnsi="Arial Narrow"/>
          <w:color w:val="auto"/>
          <w:lang w:val="es-CO"/>
        </w:rPr>
      </w:pPr>
      <w:r w:rsidRPr="00D85E4B">
        <w:rPr>
          <w:rFonts w:ascii="Arial Narrow" w:hAnsi="Arial Narrow"/>
          <w:color w:val="auto"/>
        </w:rPr>
        <w:t xml:space="preserve">El contrato de empréstito está definido en el artículo 7 del Decreto 2681 de 1993, y el articulo 13 ibidem, nos remite al Decreto 1333 de 1986 y normas complementarias, imponiendo como límite que “no podrán registrarse en la mencionada dirección los empréstitos que excedan los montos individuales máximos de créditos de las Entidades territoriales”. Es pertinente referir que el </w:t>
      </w:r>
      <w:r w:rsidR="00B86C73" w:rsidRPr="00D85E4B">
        <w:rPr>
          <w:rFonts w:ascii="Arial Narrow" w:hAnsi="Arial Narrow"/>
          <w:color w:val="auto"/>
        </w:rPr>
        <w:t xml:space="preserve"> </w:t>
      </w:r>
      <w:r w:rsidR="00B86C73" w:rsidRPr="00D85E4B">
        <w:rPr>
          <w:rFonts w:ascii="Arial Narrow" w:hAnsi="Arial Narrow"/>
          <w:bCs/>
          <w:color w:val="auto"/>
          <w:lang w:val="es-CO"/>
        </w:rPr>
        <w:t xml:space="preserve">artículo 29 de la </w:t>
      </w:r>
      <w:r w:rsidR="00B86C73" w:rsidRPr="003A0681">
        <w:rPr>
          <w:rFonts w:ascii="Arial Narrow" w:hAnsi="Arial Narrow"/>
          <w:bCs/>
          <w:color w:val="auto"/>
          <w:lang w:val="es-CO"/>
        </w:rPr>
        <w:t>Ley 2155 de 2021</w:t>
      </w:r>
      <w:r w:rsidR="00B86C73" w:rsidRPr="00D85E4B">
        <w:rPr>
          <w:rFonts w:ascii="Arial Narrow" w:hAnsi="Arial Narrow"/>
          <w:bCs/>
          <w:color w:val="auto"/>
          <w:lang w:val="es-CO"/>
        </w:rPr>
        <w:t xml:space="preserve"> estableció: “</w:t>
      </w:r>
      <w:r w:rsidR="00B86C73" w:rsidRPr="00D85E4B">
        <w:rPr>
          <w:rFonts w:ascii="Arial Narrow" w:hAnsi="Arial Narrow"/>
          <w:color w:val="auto"/>
          <w:lang w:val="es-CO"/>
        </w:rPr>
        <w:t>Modifíquese el inciso 1 y adiciónese un parágrafo 3 al artículo 3 del Decreto Legislativo 678 de 2020, así: </w:t>
      </w:r>
    </w:p>
    <w:p w14:paraId="1554A693" w14:textId="77777777" w:rsidR="00B86C73" w:rsidRPr="00D85E4B" w:rsidRDefault="00B86C73" w:rsidP="00B86C73">
      <w:pPr>
        <w:spacing w:after="200" w:line="276" w:lineRule="auto"/>
        <w:contextualSpacing/>
        <w:jc w:val="both"/>
        <w:rPr>
          <w:rFonts w:ascii="Arial Narrow" w:hAnsi="Arial Narrow"/>
          <w:color w:val="auto"/>
          <w:lang w:val="es-CO"/>
        </w:rPr>
      </w:pPr>
    </w:p>
    <w:p w14:paraId="595B7099" w14:textId="77777777" w:rsidR="00B86C73" w:rsidRPr="00D85E4B" w:rsidRDefault="00B86C73" w:rsidP="00B86C73">
      <w:pPr>
        <w:spacing w:after="200" w:line="276" w:lineRule="auto"/>
        <w:ind w:left="851" w:right="429"/>
        <w:contextualSpacing/>
        <w:jc w:val="both"/>
        <w:rPr>
          <w:rFonts w:ascii="Arial Narrow" w:hAnsi="Arial Narrow"/>
          <w:i/>
          <w:color w:val="auto"/>
          <w:lang w:val="es-CO"/>
        </w:rPr>
      </w:pPr>
      <w:r w:rsidRPr="00D85E4B">
        <w:rPr>
          <w:rFonts w:ascii="Arial Narrow" w:hAnsi="Arial Narrow"/>
          <w:b/>
          <w:bCs/>
          <w:i/>
          <w:color w:val="auto"/>
          <w:lang w:val="es-CO"/>
        </w:rPr>
        <w:t>ARTÍCULO 3. CRÉDITOS DE TESORERÍA PARA LAS ENTIDADES TERRITORIALES Y SUS DESCENTRALIZADAS. </w:t>
      </w:r>
      <w:r w:rsidRPr="00D85E4B">
        <w:rPr>
          <w:rFonts w:ascii="Arial Narrow" w:hAnsi="Arial Narrow"/>
          <w:i/>
          <w:color w:val="auto"/>
          <w:lang w:val="es-CO"/>
        </w:rPr>
        <w:t>Para efectos de compensar la caída de los ingresos corrientes y aliviar presiones de liquidez ocasionadas por la crisis generada por la pandemia COVID 19, las entidades territoriales y sus descentralizadas podrán contratar con entidades financieras créditos de tesorería durante las vigencias fiscales 2021, 2022 Y 2023, que se destinarán exclusivamente a atender insuficiencia de caja de carácter temporal tanto en gastos de funcionamiento como de inversión y deberán cumplir con los siguientes requisitos: </w:t>
      </w:r>
    </w:p>
    <w:p w14:paraId="23FB9312" w14:textId="77777777" w:rsidR="00B86C73" w:rsidRPr="00D85E4B" w:rsidRDefault="00B86C73" w:rsidP="00B86C73">
      <w:pPr>
        <w:spacing w:after="200" w:line="276" w:lineRule="auto"/>
        <w:ind w:left="851" w:right="429"/>
        <w:contextualSpacing/>
        <w:jc w:val="both"/>
        <w:rPr>
          <w:rFonts w:ascii="Arial Narrow" w:hAnsi="Arial Narrow"/>
          <w:i/>
          <w:color w:val="auto"/>
          <w:lang w:val="es-CO"/>
        </w:rPr>
      </w:pPr>
      <w:r w:rsidRPr="00D85E4B">
        <w:rPr>
          <w:rFonts w:ascii="Arial Narrow" w:hAnsi="Arial Narrow"/>
          <w:i/>
          <w:color w:val="auto"/>
          <w:lang w:val="es-CO"/>
        </w:rPr>
        <w:t>3.1 Estos créditos no podrán exceder el 15% de los ingresos corrientes del año fiscal en que se contratan. </w:t>
      </w:r>
    </w:p>
    <w:p w14:paraId="0545EC30" w14:textId="77777777" w:rsidR="00B86C73" w:rsidRPr="00D85E4B" w:rsidRDefault="00B86C73" w:rsidP="00B86C73">
      <w:pPr>
        <w:spacing w:after="200" w:line="276" w:lineRule="auto"/>
        <w:ind w:left="851" w:right="429"/>
        <w:contextualSpacing/>
        <w:jc w:val="both"/>
        <w:rPr>
          <w:rFonts w:ascii="Arial Narrow" w:hAnsi="Arial Narrow"/>
          <w:i/>
          <w:color w:val="auto"/>
          <w:lang w:val="es-CO"/>
        </w:rPr>
      </w:pPr>
      <w:r w:rsidRPr="00D85E4B">
        <w:rPr>
          <w:rFonts w:ascii="Arial Narrow" w:hAnsi="Arial Narrow"/>
          <w:i/>
          <w:color w:val="auto"/>
          <w:lang w:val="es-CO"/>
        </w:rPr>
        <w:t>3.2 Serán pagados con recursos diferentes del crédito salvo lo previsto en el parágrafo 3 del presente artículo. </w:t>
      </w:r>
    </w:p>
    <w:p w14:paraId="6682AE53" w14:textId="77777777" w:rsidR="00B86C73" w:rsidRPr="00D85E4B" w:rsidRDefault="00B86C73" w:rsidP="00B86C73">
      <w:pPr>
        <w:spacing w:after="200" w:line="276" w:lineRule="auto"/>
        <w:ind w:left="851" w:right="429"/>
        <w:contextualSpacing/>
        <w:jc w:val="both"/>
        <w:rPr>
          <w:rFonts w:ascii="Arial Narrow" w:hAnsi="Arial Narrow"/>
          <w:i/>
          <w:color w:val="auto"/>
          <w:lang w:val="es-CO"/>
        </w:rPr>
      </w:pPr>
      <w:r w:rsidRPr="00D85E4B">
        <w:rPr>
          <w:rFonts w:ascii="Arial Narrow" w:hAnsi="Arial Narrow"/>
          <w:i/>
          <w:color w:val="auto"/>
          <w:lang w:val="es-CO"/>
        </w:rPr>
        <w:t>3.3 Deben ser pagados con intereses y otros cargos financieros antes del 31 de diciembre de la vigencia fiscal siguiente a aquella en que se contratan. </w:t>
      </w:r>
    </w:p>
    <w:p w14:paraId="35D1BAFB" w14:textId="77777777" w:rsidR="00B86C73" w:rsidRPr="00D85E4B" w:rsidRDefault="00B86C73" w:rsidP="00B86C73">
      <w:pPr>
        <w:spacing w:after="200" w:line="276" w:lineRule="auto"/>
        <w:ind w:left="851" w:right="429"/>
        <w:contextualSpacing/>
        <w:jc w:val="both"/>
        <w:rPr>
          <w:rFonts w:ascii="Arial Narrow" w:hAnsi="Arial Narrow"/>
          <w:i/>
          <w:color w:val="auto"/>
          <w:lang w:val="es-CO"/>
        </w:rPr>
      </w:pPr>
      <w:r w:rsidRPr="00D85E4B">
        <w:rPr>
          <w:rFonts w:ascii="Arial Narrow" w:hAnsi="Arial Narrow"/>
          <w:i/>
          <w:color w:val="auto"/>
          <w:lang w:val="es-CO"/>
        </w:rPr>
        <w:t>3.4 No podrán contraerse en cuanto existan créditos de tesorería en mora o sobregiros. </w:t>
      </w:r>
    </w:p>
    <w:p w14:paraId="3E668B88" w14:textId="49FEF6D1" w:rsidR="00B86C73" w:rsidRPr="00D85E4B" w:rsidRDefault="00B86C73" w:rsidP="00B86C73">
      <w:pPr>
        <w:spacing w:after="200" w:line="276" w:lineRule="auto"/>
        <w:ind w:left="851" w:right="429"/>
        <w:contextualSpacing/>
        <w:jc w:val="both"/>
        <w:rPr>
          <w:rFonts w:ascii="Arial Narrow" w:hAnsi="Arial Narrow"/>
          <w:i/>
          <w:color w:val="auto"/>
          <w:lang w:val="es-CO"/>
        </w:rPr>
      </w:pPr>
      <w:r w:rsidRPr="00D85E4B">
        <w:rPr>
          <w:rFonts w:ascii="Arial Narrow" w:hAnsi="Arial Narrow"/>
          <w:b/>
          <w:bCs/>
          <w:i/>
          <w:color w:val="auto"/>
          <w:lang w:val="es-CO"/>
        </w:rPr>
        <w:t>PARÁGRAFO 3. </w:t>
      </w:r>
      <w:r w:rsidRPr="00D85E4B">
        <w:rPr>
          <w:rFonts w:ascii="Arial Narrow" w:hAnsi="Arial Narrow"/>
          <w:i/>
          <w:color w:val="auto"/>
          <w:lang w:val="es-CO"/>
        </w:rPr>
        <w:t>Los créditos de tesorería para las entidades territoriales y sus descentralizadas, contratados en virtud del presente artículo podrán ser atendidos con recursos provenientes de créditos de largo plazo. La contratación del crédito de largo plazo deberá cumplir los requisitos y autorizaciones para nuevo endeudamiento establecidos por la Ley 358 de 1997 y demás normas que regulan el endeudamiento territorial según se trate de operaciones de crédito público interno o externo. </w:t>
      </w:r>
    </w:p>
    <w:p w14:paraId="3BA133CE" w14:textId="77777777" w:rsidR="00B86C73" w:rsidRPr="00D85E4B" w:rsidRDefault="00B86C73" w:rsidP="00B86C73">
      <w:pPr>
        <w:spacing w:after="200" w:line="276" w:lineRule="auto"/>
        <w:ind w:left="851" w:right="429"/>
        <w:contextualSpacing/>
        <w:jc w:val="both"/>
        <w:rPr>
          <w:rFonts w:ascii="Arial Narrow" w:hAnsi="Arial Narrow"/>
          <w:i/>
          <w:color w:val="auto"/>
          <w:lang w:val="es-CO"/>
        </w:rPr>
      </w:pPr>
    </w:p>
    <w:p w14:paraId="324D431F" w14:textId="5256DEA7" w:rsidR="00B86C73" w:rsidRPr="00D85E4B" w:rsidRDefault="00B86C73" w:rsidP="008C6A51">
      <w:pPr>
        <w:spacing w:after="200" w:line="276" w:lineRule="auto"/>
        <w:ind w:right="4"/>
        <w:contextualSpacing/>
        <w:jc w:val="both"/>
        <w:rPr>
          <w:rFonts w:ascii="Arial Narrow" w:hAnsi="Arial Narrow"/>
          <w:color w:val="auto"/>
          <w:lang w:val="es-CO"/>
        </w:rPr>
      </w:pPr>
      <w:r w:rsidRPr="00D85E4B">
        <w:rPr>
          <w:rFonts w:ascii="Arial Narrow" w:hAnsi="Arial Narrow"/>
          <w:color w:val="auto"/>
          <w:lang w:val="es-CO"/>
        </w:rPr>
        <w:t xml:space="preserve">Frente a los mencionados requisitos, la E.S.E. Hospital Regional de </w:t>
      </w:r>
      <w:r w:rsidR="00407E7E" w:rsidRPr="00D85E4B">
        <w:rPr>
          <w:rFonts w:ascii="Arial Narrow" w:hAnsi="Arial Narrow"/>
          <w:color w:val="auto"/>
          <w:lang w:val="es-CO"/>
        </w:rPr>
        <w:t>Moniquirá</w:t>
      </w:r>
      <w:r w:rsidRPr="00D85E4B">
        <w:rPr>
          <w:rFonts w:ascii="Arial Narrow" w:hAnsi="Arial Narrow"/>
          <w:color w:val="auto"/>
          <w:lang w:val="es-CO"/>
        </w:rPr>
        <w:t>, da cumplimiento a cabalidad, toda vez que:</w:t>
      </w:r>
    </w:p>
    <w:p w14:paraId="750C3728" w14:textId="1B8B32AC" w:rsidR="00B86C73" w:rsidRDefault="00B86C73" w:rsidP="00B86C73">
      <w:pPr>
        <w:pStyle w:val="Prrafodelista"/>
        <w:numPr>
          <w:ilvl w:val="0"/>
          <w:numId w:val="11"/>
        </w:numPr>
        <w:spacing w:after="200" w:line="276" w:lineRule="auto"/>
        <w:ind w:right="429"/>
        <w:contextualSpacing/>
        <w:jc w:val="both"/>
        <w:rPr>
          <w:rFonts w:ascii="Arial Narrow" w:hAnsi="Arial Narrow"/>
        </w:rPr>
      </w:pPr>
      <w:r w:rsidRPr="00D85E4B">
        <w:rPr>
          <w:rFonts w:ascii="Arial Narrow" w:hAnsi="Arial Narrow"/>
        </w:rPr>
        <w:t xml:space="preserve">Los ingresos corrientes </w:t>
      </w:r>
      <w:r w:rsidR="00407E7E" w:rsidRPr="00D85E4B">
        <w:rPr>
          <w:rFonts w:ascii="Arial Narrow" w:hAnsi="Arial Narrow"/>
        </w:rPr>
        <w:t>registrados a fecha</w:t>
      </w:r>
      <w:r w:rsidR="00B668D6" w:rsidRPr="00D85E4B">
        <w:rPr>
          <w:rFonts w:ascii="Arial Narrow" w:hAnsi="Arial Narrow"/>
        </w:rPr>
        <w:t xml:space="preserve"> 25 de mayo </w:t>
      </w:r>
      <w:r w:rsidR="00407E7E" w:rsidRPr="00D85E4B">
        <w:rPr>
          <w:rFonts w:ascii="Arial Narrow" w:hAnsi="Arial Narrow"/>
        </w:rPr>
        <w:t xml:space="preserve">en el presupuesto del </w:t>
      </w:r>
      <w:r w:rsidR="00B668D6" w:rsidRPr="00D85E4B">
        <w:rPr>
          <w:rFonts w:ascii="Arial Narrow" w:hAnsi="Arial Narrow"/>
        </w:rPr>
        <w:t>Hospital</w:t>
      </w:r>
      <w:r w:rsidR="00407E7E" w:rsidRPr="00D85E4B">
        <w:rPr>
          <w:rFonts w:ascii="Arial Narrow" w:hAnsi="Arial Narrow"/>
        </w:rPr>
        <w:t xml:space="preserve"> Regional De Moniquirá </w:t>
      </w:r>
      <w:r w:rsidR="00B668D6" w:rsidRPr="00D85E4B">
        <w:rPr>
          <w:rFonts w:ascii="Arial Narrow" w:hAnsi="Arial Narrow"/>
        </w:rPr>
        <w:t>a</w:t>
      </w:r>
      <w:r w:rsidR="00C11539">
        <w:rPr>
          <w:rFonts w:ascii="Arial Narrow" w:hAnsi="Arial Narrow"/>
        </w:rPr>
        <w:t>s</w:t>
      </w:r>
      <w:r w:rsidR="00B668D6" w:rsidRPr="00D85E4B">
        <w:rPr>
          <w:rFonts w:ascii="Arial Narrow" w:hAnsi="Arial Narrow"/>
        </w:rPr>
        <w:t xml:space="preserve">ciende a la suma de </w:t>
      </w:r>
      <w:r w:rsidR="00B668D6" w:rsidRPr="00D85E4B">
        <w:rPr>
          <w:rFonts w:ascii="Arial Narrow" w:hAnsi="Arial Narrow"/>
          <w:b/>
          <w:bCs/>
        </w:rPr>
        <w:t>OCHO MIL CINCUENTA Y CINCO MILLONES</w:t>
      </w:r>
      <w:r w:rsidR="00F21550" w:rsidRPr="00D85E4B">
        <w:rPr>
          <w:rFonts w:ascii="Arial Narrow" w:hAnsi="Arial Narrow"/>
          <w:b/>
          <w:bCs/>
        </w:rPr>
        <w:t xml:space="preserve"> </w:t>
      </w:r>
      <w:r w:rsidR="00F21550">
        <w:rPr>
          <w:rFonts w:ascii="Arial Narrow" w:hAnsi="Arial Narrow"/>
          <w:b/>
          <w:bCs/>
        </w:rPr>
        <w:t xml:space="preserve">QUINIENTOS MIL CATORCE </w:t>
      </w:r>
      <w:r w:rsidR="00B668D6" w:rsidRPr="00D85E4B">
        <w:rPr>
          <w:rFonts w:ascii="Arial Narrow" w:hAnsi="Arial Narrow"/>
          <w:b/>
          <w:bCs/>
        </w:rPr>
        <w:t>PESOS M/CTE ($8.055.</w:t>
      </w:r>
      <w:r w:rsidR="00F21550">
        <w:rPr>
          <w:rFonts w:ascii="Arial Narrow" w:hAnsi="Arial Narrow"/>
          <w:b/>
          <w:bCs/>
        </w:rPr>
        <w:t>500</w:t>
      </w:r>
      <w:r w:rsidR="00B668D6" w:rsidRPr="00D85E4B">
        <w:rPr>
          <w:rFonts w:ascii="Arial Narrow" w:hAnsi="Arial Narrow"/>
          <w:b/>
          <w:bCs/>
        </w:rPr>
        <w:t>.</w:t>
      </w:r>
      <w:r w:rsidR="00F21550">
        <w:rPr>
          <w:rFonts w:ascii="Arial Narrow" w:hAnsi="Arial Narrow"/>
          <w:b/>
          <w:bCs/>
        </w:rPr>
        <w:t>014</w:t>
      </w:r>
      <w:r w:rsidR="00B668D6" w:rsidRPr="00D85E4B">
        <w:rPr>
          <w:rFonts w:ascii="Arial Narrow" w:hAnsi="Arial Narrow"/>
          <w:b/>
          <w:bCs/>
        </w:rPr>
        <w:t>)</w:t>
      </w:r>
      <w:r w:rsidRPr="00D85E4B">
        <w:rPr>
          <w:rFonts w:ascii="Arial Narrow" w:hAnsi="Arial Narrow"/>
        </w:rPr>
        <w:t xml:space="preserve">, según información financiera reportada </w:t>
      </w:r>
      <w:r w:rsidR="009603D2">
        <w:rPr>
          <w:rFonts w:ascii="Arial Narrow" w:hAnsi="Arial Narrow"/>
        </w:rPr>
        <w:t>y certificada en el software de la institución</w:t>
      </w:r>
      <w:r w:rsidR="00B668D6" w:rsidRPr="00D85E4B">
        <w:rPr>
          <w:rFonts w:ascii="Arial Narrow" w:hAnsi="Arial Narrow"/>
        </w:rPr>
        <w:t xml:space="preserve"> </w:t>
      </w:r>
      <w:r w:rsidRPr="00D85E4B">
        <w:rPr>
          <w:rFonts w:ascii="Arial Narrow" w:hAnsi="Arial Narrow"/>
        </w:rPr>
        <w:t xml:space="preserve">de los cuales el 15% arroja la suma de </w:t>
      </w:r>
      <w:r w:rsidR="00F21550" w:rsidRPr="00F21550">
        <w:rPr>
          <w:rFonts w:ascii="Arial Narrow" w:hAnsi="Arial Narrow"/>
          <w:b/>
          <w:bCs/>
        </w:rPr>
        <w:t>MIL DOSCIENTOS OCHO MILLONES TRESCIENTOS VEINTICINCO MIL DOS PESOS M/CTE ($1.208.325.002)</w:t>
      </w:r>
      <w:r w:rsidRPr="00D85E4B">
        <w:rPr>
          <w:rFonts w:ascii="Arial Narrow" w:hAnsi="Arial Narrow"/>
        </w:rPr>
        <w:t xml:space="preserve"> siendo la solicitud de empréstito menor a esta cuantía</w:t>
      </w:r>
      <w:r w:rsidR="00D85E4B" w:rsidRPr="00D85E4B">
        <w:rPr>
          <w:rFonts w:ascii="Arial Narrow" w:hAnsi="Arial Narrow"/>
        </w:rPr>
        <w:t xml:space="preserve"> que es exigida por el decreto 678 de 2020</w:t>
      </w:r>
      <w:r w:rsidRPr="00D85E4B">
        <w:rPr>
          <w:rFonts w:ascii="Arial Narrow" w:hAnsi="Arial Narrow"/>
        </w:rPr>
        <w:t>.</w:t>
      </w:r>
    </w:p>
    <w:p w14:paraId="39EB6515" w14:textId="77777777" w:rsidR="00D85E4B" w:rsidRPr="00D85E4B" w:rsidRDefault="00D85E4B" w:rsidP="00D85E4B">
      <w:pPr>
        <w:pStyle w:val="Prrafodelista"/>
        <w:spacing w:after="200" w:line="276" w:lineRule="auto"/>
        <w:ind w:left="720" w:right="429"/>
        <w:contextualSpacing/>
        <w:jc w:val="both"/>
        <w:rPr>
          <w:rFonts w:ascii="Arial Narrow" w:hAnsi="Arial Narrow"/>
        </w:rPr>
      </w:pPr>
    </w:p>
    <w:p w14:paraId="31303773" w14:textId="3D06318D" w:rsidR="008F3854" w:rsidRPr="00D85E4B" w:rsidRDefault="008F3854" w:rsidP="00B86C73">
      <w:pPr>
        <w:pStyle w:val="Prrafodelista"/>
        <w:numPr>
          <w:ilvl w:val="0"/>
          <w:numId w:val="11"/>
        </w:numPr>
        <w:spacing w:after="200" w:line="276" w:lineRule="auto"/>
        <w:ind w:right="429"/>
        <w:contextualSpacing/>
        <w:jc w:val="both"/>
        <w:rPr>
          <w:rFonts w:ascii="Arial Narrow" w:hAnsi="Arial Narrow"/>
        </w:rPr>
      </w:pPr>
      <w:r w:rsidRPr="00D85E4B">
        <w:rPr>
          <w:rFonts w:ascii="Arial Narrow" w:hAnsi="Arial Narrow"/>
        </w:rPr>
        <w:t>El servicio a la deuda, ser atendida con recursos propios, provenientes de la venta de servicios de salud.</w:t>
      </w:r>
    </w:p>
    <w:p w14:paraId="4571E25F" w14:textId="373C4C19" w:rsidR="008F3854" w:rsidRPr="00D85E4B" w:rsidRDefault="008F3854" w:rsidP="00B86C73">
      <w:pPr>
        <w:pStyle w:val="Prrafodelista"/>
        <w:numPr>
          <w:ilvl w:val="0"/>
          <w:numId w:val="11"/>
        </w:numPr>
        <w:spacing w:after="200" w:line="276" w:lineRule="auto"/>
        <w:ind w:right="429"/>
        <w:contextualSpacing/>
        <w:jc w:val="both"/>
        <w:rPr>
          <w:rFonts w:ascii="Arial Narrow" w:hAnsi="Arial Narrow"/>
        </w:rPr>
      </w:pPr>
      <w:r w:rsidRPr="00D85E4B">
        <w:rPr>
          <w:rFonts w:ascii="Arial Narrow" w:hAnsi="Arial Narrow"/>
        </w:rPr>
        <w:t>Corresponde a un crédito de tesorería, pagadero en un plazo no mayor a la vigencia 2022</w:t>
      </w:r>
    </w:p>
    <w:p w14:paraId="046524AA" w14:textId="5A0D37CC" w:rsidR="008F3854" w:rsidRPr="00D85E4B" w:rsidRDefault="008F3854" w:rsidP="00B86C73">
      <w:pPr>
        <w:pStyle w:val="Prrafodelista"/>
        <w:numPr>
          <w:ilvl w:val="0"/>
          <w:numId w:val="11"/>
        </w:numPr>
        <w:spacing w:after="200" w:line="276" w:lineRule="auto"/>
        <w:ind w:right="429"/>
        <w:contextualSpacing/>
        <w:jc w:val="both"/>
        <w:rPr>
          <w:rFonts w:ascii="Arial Narrow" w:hAnsi="Arial Narrow"/>
        </w:rPr>
      </w:pPr>
      <w:r w:rsidRPr="00D85E4B">
        <w:rPr>
          <w:rFonts w:ascii="Arial Narrow" w:hAnsi="Arial Narrow"/>
        </w:rPr>
        <w:t>Según información financiera de la E.S.E. el Hospital no presenta saldo de la deuda, por lo cual no cuenta con créditos de tesorería vigentes.</w:t>
      </w:r>
    </w:p>
    <w:p w14:paraId="335AE349" w14:textId="1693BEA3" w:rsidR="003A0681" w:rsidRDefault="00496BBB" w:rsidP="003A0681">
      <w:pPr>
        <w:spacing w:after="200" w:line="276" w:lineRule="auto"/>
        <w:ind w:right="4"/>
        <w:contextualSpacing/>
        <w:jc w:val="both"/>
        <w:rPr>
          <w:rFonts w:ascii="Arial Narrow" w:hAnsi="Arial Narrow"/>
          <w:color w:val="auto"/>
        </w:rPr>
      </w:pPr>
      <w:r>
        <w:rPr>
          <w:rFonts w:ascii="Arial Narrow" w:hAnsi="Arial Narrow"/>
          <w:color w:val="auto"/>
          <w:highlight w:val="yellow"/>
        </w:rPr>
        <w:t>Por otra parte</w:t>
      </w:r>
      <w:r w:rsidR="003A0681" w:rsidRPr="003A0681">
        <w:rPr>
          <w:rFonts w:ascii="Arial Narrow" w:hAnsi="Arial Narrow"/>
          <w:color w:val="auto"/>
          <w:highlight w:val="yellow"/>
        </w:rPr>
        <w:t>, el HOSPITAL REGIONAL DE MONIQUIRA, necesita</w:t>
      </w:r>
      <w:r w:rsidR="003A0681">
        <w:rPr>
          <w:rFonts w:ascii="Arial Narrow" w:hAnsi="Arial Narrow"/>
          <w:color w:val="auto"/>
          <w:highlight w:val="yellow"/>
        </w:rPr>
        <w:t>rá</w:t>
      </w:r>
      <w:r w:rsidR="003A0681" w:rsidRPr="003A0681">
        <w:rPr>
          <w:rFonts w:ascii="Arial Narrow" w:hAnsi="Arial Narrow"/>
          <w:color w:val="auto"/>
          <w:highlight w:val="yellow"/>
        </w:rPr>
        <w:t xml:space="preserve"> contar con la evaluación de una calificadora de riesgos que acredite su capacidad de contraer endeudamiento. El Decreto 2555 de 2010 establece que solamente podrán ejercer la actividad de calificación de valores o riesgos en el mercado de valores las personas jurídicas que hayan obtenido el respectivo permiso de funcionamiento por parte de la Superintendencia Financiera de Colombia y se encuentren inscritas en el Registro Nacional de Agente de Mercado de Valores – RNAMV.</w:t>
      </w:r>
    </w:p>
    <w:p w14:paraId="4740E619" w14:textId="77777777" w:rsidR="003A0681" w:rsidRDefault="003A0681" w:rsidP="008C6A51">
      <w:pPr>
        <w:spacing w:after="200" w:line="276" w:lineRule="auto"/>
        <w:ind w:right="4"/>
        <w:contextualSpacing/>
        <w:jc w:val="both"/>
        <w:rPr>
          <w:rFonts w:ascii="Arial Narrow" w:hAnsi="Arial Narrow"/>
          <w:color w:val="auto"/>
        </w:rPr>
      </w:pPr>
    </w:p>
    <w:p w14:paraId="294FDA23" w14:textId="39A7C775" w:rsidR="005B75AB" w:rsidRPr="00D85E4B" w:rsidRDefault="005B75AB" w:rsidP="008C6A51">
      <w:pPr>
        <w:spacing w:after="200" w:line="276" w:lineRule="auto"/>
        <w:ind w:right="4"/>
        <w:contextualSpacing/>
        <w:jc w:val="both"/>
        <w:rPr>
          <w:rFonts w:ascii="Arial Narrow" w:hAnsi="Arial Narrow"/>
          <w:color w:val="auto"/>
        </w:rPr>
      </w:pPr>
      <w:r w:rsidRPr="00D85E4B">
        <w:rPr>
          <w:rFonts w:ascii="Arial Narrow" w:hAnsi="Arial Narrow"/>
          <w:color w:val="auto"/>
        </w:rPr>
        <w:t>Se estima necesario acudir a la figura del empréstito para anticipar la consecución de recursos y materializar la adquisición del equipo tomógrafo, todo dentro de las posibilidades económicas – financieras de la E.S.E.M que le permiten a la entidad cumplir con las obligaciones de plazo y demás elementos propios de esta modalidad de contratos</w:t>
      </w:r>
    </w:p>
    <w:p w14:paraId="58991819" w14:textId="77777777" w:rsidR="007B2E58" w:rsidRPr="00D85E4B" w:rsidRDefault="007B2E58" w:rsidP="00075AFB">
      <w:pPr>
        <w:jc w:val="both"/>
        <w:rPr>
          <w:rFonts w:ascii="Arial Narrow" w:hAnsi="Arial Narrow" w:cs="Arial"/>
          <w:color w:val="auto"/>
        </w:rPr>
      </w:pPr>
    </w:p>
    <w:p w14:paraId="27450E5B" w14:textId="77777777" w:rsidR="00075AFB" w:rsidRPr="00D85E4B" w:rsidRDefault="00075AFB" w:rsidP="00075AFB">
      <w:pPr>
        <w:jc w:val="both"/>
        <w:rPr>
          <w:rFonts w:ascii="Arial Narrow" w:hAnsi="Arial Narrow" w:cs="Arial"/>
          <w:color w:val="auto"/>
        </w:rPr>
      </w:pPr>
      <w:r w:rsidRPr="00D85E4B">
        <w:rPr>
          <w:rFonts w:ascii="Arial Narrow" w:hAnsi="Arial Narrow" w:cs="Arial"/>
          <w:color w:val="auto"/>
        </w:rPr>
        <w:t xml:space="preserve">En mérito de lo expuesto, </w:t>
      </w:r>
    </w:p>
    <w:p w14:paraId="1F44730E" w14:textId="77777777" w:rsidR="00075AFB" w:rsidRPr="00D85E4B" w:rsidRDefault="00075AFB" w:rsidP="00075AFB">
      <w:pPr>
        <w:jc w:val="both"/>
        <w:rPr>
          <w:rFonts w:ascii="Arial Narrow" w:hAnsi="Arial Narrow" w:cs="Arial"/>
          <w:color w:val="auto"/>
        </w:rPr>
      </w:pPr>
    </w:p>
    <w:p w14:paraId="1FFEAA31" w14:textId="77777777" w:rsidR="00075AFB" w:rsidRPr="00D85E4B" w:rsidRDefault="00075AFB" w:rsidP="00075AFB">
      <w:pPr>
        <w:jc w:val="center"/>
        <w:rPr>
          <w:rFonts w:ascii="Arial Narrow" w:hAnsi="Arial Narrow" w:cs="Arial"/>
          <w:b/>
          <w:color w:val="auto"/>
        </w:rPr>
      </w:pPr>
      <w:r w:rsidRPr="00D85E4B">
        <w:rPr>
          <w:rFonts w:ascii="Arial Narrow" w:hAnsi="Arial Narrow" w:cs="Arial"/>
          <w:b/>
          <w:color w:val="auto"/>
        </w:rPr>
        <w:t>ACUERDA</w:t>
      </w:r>
    </w:p>
    <w:p w14:paraId="1D0CB8CD" w14:textId="77777777" w:rsidR="00CF430F" w:rsidRPr="00D85E4B" w:rsidRDefault="00CF430F" w:rsidP="00075AFB">
      <w:pPr>
        <w:jc w:val="center"/>
        <w:rPr>
          <w:rFonts w:ascii="Arial Narrow" w:hAnsi="Arial Narrow" w:cs="Arial"/>
          <w:b/>
          <w:color w:val="auto"/>
        </w:rPr>
      </w:pPr>
    </w:p>
    <w:p w14:paraId="07D3E5EF" w14:textId="77777777" w:rsidR="00075AFB" w:rsidRPr="00D85E4B" w:rsidRDefault="00075AFB" w:rsidP="00075AFB">
      <w:pPr>
        <w:jc w:val="both"/>
        <w:rPr>
          <w:rFonts w:ascii="Arial Narrow" w:hAnsi="Arial Narrow" w:cs="Arial"/>
          <w:color w:val="auto"/>
        </w:rPr>
      </w:pPr>
    </w:p>
    <w:p w14:paraId="73F2BF1B" w14:textId="23908BEC" w:rsidR="00197BBB" w:rsidRPr="00D85E4B" w:rsidRDefault="00197BBB" w:rsidP="00075AFB">
      <w:pPr>
        <w:jc w:val="both"/>
        <w:rPr>
          <w:rFonts w:ascii="Arial Narrow" w:hAnsi="Arial Narrow" w:cs="Arial"/>
          <w:color w:val="auto"/>
        </w:rPr>
      </w:pPr>
      <w:r w:rsidRPr="00D85E4B">
        <w:rPr>
          <w:rFonts w:ascii="Arial Narrow" w:hAnsi="Arial Narrow" w:cs="Arial"/>
          <w:b/>
          <w:color w:val="auto"/>
        </w:rPr>
        <w:t xml:space="preserve">ARTICULO PRIMERO: </w:t>
      </w:r>
      <w:r w:rsidR="00344882" w:rsidRPr="00D85E4B">
        <w:rPr>
          <w:rFonts w:ascii="Arial Narrow" w:hAnsi="Arial Narrow" w:cs="Arial"/>
          <w:b/>
          <w:color w:val="auto"/>
        </w:rPr>
        <w:t xml:space="preserve"> </w:t>
      </w:r>
      <w:r w:rsidR="00EC5D07" w:rsidRPr="00D85E4B">
        <w:rPr>
          <w:rFonts w:ascii="Arial Narrow" w:hAnsi="Arial Narrow" w:cs="Arial"/>
          <w:color w:val="auto"/>
        </w:rPr>
        <w:t xml:space="preserve">Autorizar al Gerente de la E.S.E. Hospital Regional de </w:t>
      </w:r>
      <w:r w:rsidR="00D85E4B" w:rsidRPr="00D85E4B">
        <w:rPr>
          <w:rFonts w:ascii="Arial Narrow" w:hAnsi="Arial Narrow" w:cs="Arial"/>
          <w:color w:val="auto"/>
        </w:rPr>
        <w:t>Moniquirá</w:t>
      </w:r>
      <w:r w:rsidR="00EC5D07" w:rsidRPr="00D85E4B">
        <w:rPr>
          <w:rFonts w:ascii="Arial Narrow" w:hAnsi="Arial Narrow" w:cs="Arial"/>
          <w:color w:val="auto"/>
        </w:rPr>
        <w:t xml:space="preserve">, doctor </w:t>
      </w:r>
      <w:r w:rsidR="00EC5D07" w:rsidRPr="00D85E4B">
        <w:rPr>
          <w:rFonts w:ascii="Arial Narrow" w:hAnsi="Arial Narrow" w:cs="Arial"/>
          <w:b/>
          <w:color w:val="auto"/>
        </w:rPr>
        <w:t>LUIS CARLOS OLARTE CONTRERAS</w:t>
      </w:r>
      <w:r w:rsidR="00EC5D07" w:rsidRPr="00D85E4B">
        <w:rPr>
          <w:rFonts w:ascii="Arial Narrow" w:hAnsi="Arial Narrow" w:cs="Arial"/>
          <w:color w:val="auto"/>
        </w:rPr>
        <w:t xml:space="preserve">, para que gestione el cupo de endeudamiento de negociación y celebración de un contrato de empréstito y/o crédito de tesorería, y/o crédito FINDETER, requerido para la adquisición del equipo TOMOGRAFO, que fue incluido en el Plan Bienal de la vigencia 2022, y hasta por la suma de </w:t>
      </w:r>
      <w:r w:rsidR="00EC5D07" w:rsidRPr="00D85E4B">
        <w:rPr>
          <w:rFonts w:ascii="Arial Narrow" w:hAnsi="Arial Narrow" w:cs="Arial"/>
          <w:b/>
          <w:color w:val="auto"/>
        </w:rPr>
        <w:t>SE</w:t>
      </w:r>
      <w:r w:rsidR="008C6A51" w:rsidRPr="00D85E4B">
        <w:rPr>
          <w:rFonts w:ascii="Arial Narrow" w:hAnsi="Arial Narrow" w:cs="Arial"/>
          <w:b/>
          <w:color w:val="auto"/>
        </w:rPr>
        <w:t>ISCIENTOS</w:t>
      </w:r>
      <w:r w:rsidR="00EC5D07" w:rsidRPr="00D85E4B">
        <w:rPr>
          <w:rFonts w:ascii="Arial Narrow" w:hAnsi="Arial Narrow" w:cs="Arial"/>
          <w:b/>
          <w:color w:val="auto"/>
        </w:rPr>
        <w:t xml:space="preserve"> CINCUENTA MILLONES DE PESOS</w:t>
      </w:r>
      <w:r w:rsidR="00D85E4B" w:rsidRPr="00D85E4B">
        <w:rPr>
          <w:rFonts w:ascii="Arial Narrow" w:hAnsi="Arial Narrow" w:cs="Arial"/>
          <w:b/>
          <w:color w:val="auto"/>
        </w:rPr>
        <w:t xml:space="preserve"> M/CTE</w:t>
      </w:r>
      <w:r w:rsidR="008C6A51" w:rsidRPr="00D85E4B">
        <w:rPr>
          <w:rFonts w:ascii="Arial Narrow" w:hAnsi="Arial Narrow" w:cs="Arial"/>
          <w:b/>
          <w:color w:val="auto"/>
        </w:rPr>
        <w:t>,</w:t>
      </w:r>
      <w:r w:rsidR="008C6A51" w:rsidRPr="00D85E4B">
        <w:rPr>
          <w:rFonts w:ascii="Arial Narrow" w:hAnsi="Arial Narrow" w:cs="Arial"/>
          <w:color w:val="auto"/>
        </w:rPr>
        <w:t xml:space="preserve"> atendiendo en todo caso a la capacidad de endeudamiento de la E.S.E. Hospital Regional de </w:t>
      </w:r>
      <w:r w:rsidR="00D85E4B" w:rsidRPr="00D85E4B">
        <w:rPr>
          <w:rFonts w:ascii="Arial Narrow" w:hAnsi="Arial Narrow" w:cs="Arial"/>
          <w:color w:val="auto"/>
        </w:rPr>
        <w:t>Moniquirá</w:t>
      </w:r>
      <w:r w:rsidR="008C6A51" w:rsidRPr="00D85E4B">
        <w:rPr>
          <w:rFonts w:ascii="Arial Narrow" w:hAnsi="Arial Narrow" w:cs="Arial"/>
          <w:color w:val="auto"/>
        </w:rPr>
        <w:t>, certificada por la parte financiera de la entidad y siguiendo las disposiciones que sobre el particular rige esta modalidad de contrato para el sector publico</w:t>
      </w:r>
    </w:p>
    <w:p w14:paraId="61342DF5" w14:textId="77777777" w:rsidR="00197BBB" w:rsidRPr="00D85E4B" w:rsidRDefault="00197BBB" w:rsidP="00075AFB">
      <w:pPr>
        <w:jc w:val="both"/>
        <w:rPr>
          <w:rFonts w:ascii="Arial Narrow" w:hAnsi="Arial Narrow" w:cs="Arial"/>
          <w:color w:val="auto"/>
        </w:rPr>
      </w:pPr>
    </w:p>
    <w:p w14:paraId="3E09C685" w14:textId="76471FBC" w:rsidR="00197BBB" w:rsidRPr="00D85E4B" w:rsidRDefault="00197BBB" w:rsidP="00075AFB">
      <w:pPr>
        <w:jc w:val="both"/>
        <w:rPr>
          <w:rFonts w:ascii="Arial Narrow" w:hAnsi="Arial Narrow" w:cs="Arial"/>
          <w:color w:val="auto"/>
        </w:rPr>
      </w:pPr>
      <w:r w:rsidRPr="00D85E4B">
        <w:rPr>
          <w:rFonts w:ascii="Arial Narrow" w:hAnsi="Arial Narrow" w:cs="Arial"/>
          <w:b/>
          <w:color w:val="auto"/>
        </w:rPr>
        <w:t xml:space="preserve">ARTICULO SEGUNDO: </w:t>
      </w:r>
      <w:r w:rsidR="008C6A51" w:rsidRPr="00D85E4B">
        <w:rPr>
          <w:rFonts w:ascii="Arial Narrow" w:hAnsi="Arial Narrow" w:cs="Arial"/>
          <w:color w:val="auto"/>
        </w:rPr>
        <w:t xml:space="preserve">Conforme a la autorización otorgada en el presente acuerdo de la Junta Directiva, el Gerente de la E.S.E. Hospital regional de </w:t>
      </w:r>
      <w:r w:rsidR="00D85E4B" w:rsidRPr="00D85E4B">
        <w:rPr>
          <w:rFonts w:ascii="Arial Narrow" w:hAnsi="Arial Narrow" w:cs="Arial"/>
          <w:color w:val="auto"/>
        </w:rPr>
        <w:t>Moniquirá</w:t>
      </w:r>
      <w:r w:rsidR="008C6A51" w:rsidRPr="00D85E4B">
        <w:rPr>
          <w:rFonts w:ascii="Arial Narrow" w:hAnsi="Arial Narrow" w:cs="Arial"/>
          <w:color w:val="auto"/>
        </w:rPr>
        <w:t>, a partir de la vigencia del presente acuerdo, podrá celebrar operaciones de crédito publico interno, así como realizar las operaciones conexas, con entidades públicas o privadas, de acuerdo con la evaluación económica y de conveniencia que realice la Entidad y sujeto a las disposiciones legales vigentes sobre la materia</w:t>
      </w:r>
    </w:p>
    <w:p w14:paraId="331F7A03" w14:textId="77777777" w:rsidR="005B75AB" w:rsidRPr="00D85E4B" w:rsidRDefault="005B75AB" w:rsidP="00075AFB">
      <w:pPr>
        <w:jc w:val="both"/>
        <w:rPr>
          <w:rFonts w:ascii="Arial Narrow" w:hAnsi="Arial Narrow" w:cs="Arial"/>
          <w:color w:val="auto"/>
        </w:rPr>
      </w:pPr>
    </w:p>
    <w:p w14:paraId="20FC0A91" w14:textId="7550B5DD" w:rsidR="008C6A51" w:rsidRPr="00D85E4B" w:rsidRDefault="008C6A51" w:rsidP="008C6A51">
      <w:pPr>
        <w:jc w:val="both"/>
        <w:rPr>
          <w:rFonts w:ascii="Arial Narrow" w:hAnsi="Arial Narrow" w:cs="Arial"/>
          <w:color w:val="auto"/>
        </w:rPr>
      </w:pPr>
      <w:r w:rsidRPr="00D85E4B">
        <w:rPr>
          <w:rFonts w:ascii="Arial Narrow" w:hAnsi="Arial Narrow" w:cs="Arial"/>
          <w:b/>
          <w:color w:val="auto"/>
        </w:rPr>
        <w:t>ARTICULO TERCERO</w:t>
      </w:r>
      <w:r w:rsidRPr="00D85E4B">
        <w:rPr>
          <w:rFonts w:ascii="Arial Narrow" w:hAnsi="Arial Narrow" w:cs="Arial"/>
          <w:color w:val="auto"/>
        </w:rPr>
        <w:t>.  La autorización se confiere por medio del presente acuerdo será ejercida por el Geren</w:t>
      </w:r>
      <w:r w:rsidR="00CE7583" w:rsidRPr="00D85E4B">
        <w:rPr>
          <w:rFonts w:ascii="Arial Narrow" w:hAnsi="Arial Narrow" w:cs="Arial"/>
          <w:color w:val="auto"/>
        </w:rPr>
        <w:t>te por un valor igual o inferior a SEISCIENTOS CINCUENTA MILLONES DE PESOS M/CTE ($650.000.000)</w:t>
      </w:r>
    </w:p>
    <w:p w14:paraId="599892C7" w14:textId="345DDAEB" w:rsidR="005B75AB" w:rsidRPr="00D85E4B" w:rsidRDefault="005B75AB" w:rsidP="00197BBB">
      <w:pPr>
        <w:jc w:val="both"/>
        <w:rPr>
          <w:rFonts w:ascii="Arial Narrow" w:hAnsi="Arial Narrow" w:cs="Arial"/>
          <w:b/>
          <w:color w:val="auto"/>
        </w:rPr>
      </w:pPr>
    </w:p>
    <w:p w14:paraId="7E84CD89" w14:textId="78BF7BAC" w:rsidR="00BA5982" w:rsidRPr="00D85E4B" w:rsidRDefault="00BA5982" w:rsidP="008C6A51">
      <w:pPr>
        <w:jc w:val="both"/>
        <w:rPr>
          <w:rFonts w:ascii="Arial Narrow" w:hAnsi="Arial Narrow" w:cs="Arial"/>
          <w:color w:val="auto"/>
        </w:rPr>
      </w:pPr>
      <w:r w:rsidRPr="00D85E4B">
        <w:rPr>
          <w:rFonts w:ascii="Arial Narrow" w:hAnsi="Arial Narrow" w:cs="Arial"/>
          <w:b/>
          <w:color w:val="auto"/>
        </w:rPr>
        <w:t xml:space="preserve">ARTICULO CUARTO. </w:t>
      </w:r>
      <w:r w:rsidR="008C6A51" w:rsidRPr="00D85E4B">
        <w:rPr>
          <w:rFonts w:ascii="Arial Narrow" w:hAnsi="Arial Narrow" w:cs="Arial"/>
          <w:color w:val="auto"/>
        </w:rPr>
        <w:t xml:space="preserve"> </w:t>
      </w:r>
      <w:r w:rsidR="00CE7583" w:rsidRPr="00D85E4B">
        <w:rPr>
          <w:rFonts w:ascii="Arial Narrow" w:hAnsi="Arial Narrow" w:cs="Arial"/>
          <w:color w:val="auto"/>
        </w:rPr>
        <w:t xml:space="preserve">Para la ejecución de lo dispuesto en el presente Acuerdo, la E.S.E. Hospital Regional de </w:t>
      </w:r>
      <w:r w:rsidR="00D85E4B" w:rsidRPr="00D85E4B">
        <w:rPr>
          <w:rFonts w:ascii="Arial Narrow" w:hAnsi="Arial Narrow" w:cs="Arial"/>
          <w:color w:val="auto"/>
        </w:rPr>
        <w:t>Moniquirá</w:t>
      </w:r>
      <w:r w:rsidR="00CE7583" w:rsidRPr="00D85E4B">
        <w:rPr>
          <w:rFonts w:ascii="Arial Narrow" w:hAnsi="Arial Narrow" w:cs="Arial"/>
          <w:color w:val="auto"/>
        </w:rPr>
        <w:t xml:space="preserve"> podrá, además, otorgar las garantías a que hubiere lugar y efectuar las modificaciones presupuestales correspondientes, de conformidad con lo dispuesto por las normas vigentes sobre la materia</w:t>
      </w:r>
    </w:p>
    <w:p w14:paraId="66207E58" w14:textId="77777777" w:rsidR="00CE7583" w:rsidRPr="00D85E4B" w:rsidRDefault="00CE7583" w:rsidP="008C6A51">
      <w:pPr>
        <w:jc w:val="both"/>
        <w:rPr>
          <w:rFonts w:ascii="Arial Narrow" w:hAnsi="Arial Narrow" w:cs="Arial"/>
          <w:color w:val="auto"/>
        </w:rPr>
      </w:pPr>
    </w:p>
    <w:p w14:paraId="4B97137B" w14:textId="1E7C51B6" w:rsidR="00CE7583" w:rsidRPr="00D85E4B" w:rsidRDefault="00CE7583" w:rsidP="00CE7583">
      <w:pPr>
        <w:jc w:val="both"/>
        <w:rPr>
          <w:rFonts w:ascii="Arial Narrow" w:hAnsi="Arial Narrow" w:cs="Arial"/>
          <w:i/>
          <w:color w:val="auto"/>
        </w:rPr>
      </w:pPr>
      <w:r w:rsidRPr="00D85E4B">
        <w:rPr>
          <w:rFonts w:ascii="Arial Narrow" w:hAnsi="Arial Narrow" w:cs="Arial"/>
          <w:b/>
          <w:color w:val="auto"/>
        </w:rPr>
        <w:t xml:space="preserve">ARTICULO QUINTO. </w:t>
      </w:r>
      <w:r w:rsidRPr="00D85E4B">
        <w:rPr>
          <w:rFonts w:ascii="Arial Narrow" w:hAnsi="Arial Narrow" w:cs="Arial"/>
          <w:color w:val="auto"/>
        </w:rPr>
        <w:t xml:space="preserve">Autorizar al Gerente de la E.S.E. Hospital Regional de </w:t>
      </w:r>
      <w:proofErr w:type="spellStart"/>
      <w:r w:rsidRPr="00D85E4B">
        <w:rPr>
          <w:rFonts w:ascii="Arial Narrow" w:hAnsi="Arial Narrow" w:cs="Arial"/>
          <w:color w:val="auto"/>
        </w:rPr>
        <w:t>Moniquira</w:t>
      </w:r>
      <w:proofErr w:type="spellEnd"/>
      <w:r w:rsidRPr="00D85E4B">
        <w:rPr>
          <w:rFonts w:ascii="Arial Narrow" w:hAnsi="Arial Narrow" w:cs="Arial"/>
          <w:color w:val="auto"/>
        </w:rPr>
        <w:t xml:space="preserve"> para negociar las condiciones del empréstito y/o créditos de tesorería en cuanto a la tasa de interés, plazo, planes de amortización y condiciones más favorables del mercado</w:t>
      </w:r>
      <w:r w:rsidRPr="00D85E4B">
        <w:rPr>
          <w:rFonts w:ascii="Arial Narrow" w:hAnsi="Arial Narrow" w:cs="Arial"/>
          <w:b/>
          <w:color w:val="auto"/>
        </w:rPr>
        <w:t xml:space="preserve"> </w:t>
      </w:r>
      <w:r w:rsidRPr="00D85E4B">
        <w:rPr>
          <w:rFonts w:ascii="Arial Narrow" w:hAnsi="Arial Narrow" w:cs="Arial"/>
          <w:i/>
          <w:color w:val="auto"/>
        </w:rPr>
        <w:t xml:space="preserve">  </w:t>
      </w:r>
    </w:p>
    <w:p w14:paraId="6EB908E4" w14:textId="77777777" w:rsidR="00CE7583" w:rsidRPr="00D85E4B" w:rsidRDefault="00CE7583" w:rsidP="008C6A51">
      <w:pPr>
        <w:jc w:val="both"/>
        <w:rPr>
          <w:rFonts w:ascii="Arial Narrow" w:hAnsi="Arial Narrow" w:cs="Arial"/>
          <w:color w:val="auto"/>
        </w:rPr>
      </w:pPr>
    </w:p>
    <w:p w14:paraId="33FDEA79" w14:textId="5EC7C38A" w:rsidR="00F8681A" w:rsidRPr="00D85E4B" w:rsidRDefault="00F8681A" w:rsidP="00CE7583">
      <w:pPr>
        <w:jc w:val="both"/>
        <w:rPr>
          <w:rFonts w:ascii="Arial Narrow" w:hAnsi="Arial Narrow" w:cs="Arial"/>
          <w:color w:val="auto"/>
        </w:rPr>
      </w:pPr>
      <w:r w:rsidRPr="00D85E4B">
        <w:rPr>
          <w:rFonts w:ascii="Arial Narrow" w:hAnsi="Arial Narrow" w:cs="Arial"/>
          <w:b/>
          <w:color w:val="auto"/>
        </w:rPr>
        <w:t>ARTICULO SEXTO</w:t>
      </w:r>
      <w:r w:rsidR="00CE7583" w:rsidRPr="00D85E4B">
        <w:rPr>
          <w:rFonts w:ascii="Arial Narrow" w:hAnsi="Arial Narrow" w:cs="Arial"/>
          <w:b/>
          <w:color w:val="auto"/>
        </w:rPr>
        <w:t xml:space="preserve">. </w:t>
      </w:r>
      <w:r w:rsidR="00CE7583" w:rsidRPr="00D85E4B">
        <w:rPr>
          <w:rFonts w:ascii="Arial Narrow" w:hAnsi="Arial Narrow" w:cs="Arial"/>
          <w:color w:val="auto"/>
        </w:rPr>
        <w:t xml:space="preserve">El cupo de endeudamiento se afectara con las operaciones de </w:t>
      </w:r>
      <w:proofErr w:type="gramStart"/>
      <w:r w:rsidR="00CE7583" w:rsidRPr="00D85E4B">
        <w:rPr>
          <w:rFonts w:ascii="Arial Narrow" w:hAnsi="Arial Narrow" w:cs="Arial"/>
          <w:color w:val="auto"/>
        </w:rPr>
        <w:t>crédito público o asimilado que sean efectivamente contratadas y utilizadas</w:t>
      </w:r>
      <w:proofErr w:type="gramEnd"/>
      <w:r w:rsidR="00CE7583" w:rsidRPr="00D85E4B">
        <w:rPr>
          <w:rFonts w:ascii="Arial Narrow" w:hAnsi="Arial Narrow" w:cs="Arial"/>
          <w:color w:val="auto"/>
        </w:rPr>
        <w:t>, El área financiera o quien haga sus veces efectuara la distribución, el control y seguimiento de las utilizaciones del cupo.</w:t>
      </w:r>
    </w:p>
    <w:p w14:paraId="7DA9031A" w14:textId="30C84DEF" w:rsidR="00CE7583" w:rsidRPr="00D85E4B" w:rsidRDefault="00CE7583" w:rsidP="00F8681A">
      <w:pPr>
        <w:jc w:val="both"/>
        <w:rPr>
          <w:rFonts w:ascii="Arial Narrow" w:hAnsi="Arial Narrow" w:cs="Arial"/>
          <w:b/>
          <w:color w:val="auto"/>
        </w:rPr>
      </w:pPr>
    </w:p>
    <w:p w14:paraId="5FD6B149" w14:textId="29D9F4A9" w:rsidR="00F8681A" w:rsidRDefault="00555038" w:rsidP="00F8681A">
      <w:pPr>
        <w:jc w:val="both"/>
        <w:rPr>
          <w:rFonts w:ascii="Arial Narrow" w:hAnsi="Arial Narrow" w:cs="Arial"/>
          <w:color w:val="auto"/>
        </w:rPr>
      </w:pPr>
      <w:r w:rsidRPr="00D85E4B">
        <w:rPr>
          <w:rFonts w:ascii="Arial Narrow" w:hAnsi="Arial Narrow" w:cs="Arial"/>
          <w:b/>
          <w:color w:val="auto"/>
        </w:rPr>
        <w:t xml:space="preserve">ARTICULO SEPTIMO: </w:t>
      </w:r>
      <w:r w:rsidR="00CE7583" w:rsidRPr="00D85E4B">
        <w:rPr>
          <w:rFonts w:ascii="Arial Narrow" w:hAnsi="Arial Narrow" w:cs="Arial"/>
          <w:color w:val="auto"/>
        </w:rPr>
        <w:t xml:space="preserve">  La contratación de operaciones de crédito publico interno que realice la administración con base en la autorización del artículo primero del presente acuerdo, deberá sujetarse en todo a la capacidad de pago y sostenibilidad de la deuda de conformidad con las normas vigentes y a los requisitos que establezca el Gobierno Nacional, en materia de endeudamiento</w:t>
      </w:r>
    </w:p>
    <w:p w14:paraId="257767FE" w14:textId="77777777" w:rsidR="003A0681" w:rsidRDefault="003A0681" w:rsidP="00F8681A">
      <w:pPr>
        <w:jc w:val="both"/>
        <w:rPr>
          <w:rFonts w:ascii="Arial Narrow" w:hAnsi="Arial Narrow" w:cs="Arial"/>
          <w:color w:val="auto"/>
        </w:rPr>
      </w:pPr>
    </w:p>
    <w:p w14:paraId="70DD3FAE" w14:textId="56B50761" w:rsidR="003A0681" w:rsidRPr="003A0681" w:rsidRDefault="003A0681" w:rsidP="00F8681A">
      <w:pPr>
        <w:jc w:val="both"/>
        <w:rPr>
          <w:rFonts w:ascii="Arial Narrow" w:hAnsi="Arial Narrow" w:cs="Arial"/>
          <w:color w:val="auto"/>
        </w:rPr>
      </w:pPr>
      <w:r w:rsidRPr="003A0681">
        <w:rPr>
          <w:rFonts w:ascii="Arial Narrow" w:hAnsi="Arial Narrow" w:cs="Arial"/>
          <w:b/>
          <w:color w:val="auto"/>
          <w:highlight w:val="yellow"/>
        </w:rPr>
        <w:t>ARTICULO OCTAVO</w:t>
      </w:r>
      <w:proofErr w:type="gramStart"/>
      <w:r w:rsidRPr="003A0681">
        <w:rPr>
          <w:rFonts w:ascii="Arial Narrow" w:hAnsi="Arial Narrow" w:cs="Arial"/>
          <w:b/>
          <w:color w:val="auto"/>
          <w:highlight w:val="yellow"/>
        </w:rPr>
        <w:t xml:space="preserve">:  </w:t>
      </w:r>
      <w:r w:rsidRPr="003A0681">
        <w:rPr>
          <w:rFonts w:ascii="Arial Narrow" w:hAnsi="Arial Narrow" w:cs="Arial"/>
          <w:color w:val="auto"/>
          <w:highlight w:val="yellow"/>
        </w:rPr>
        <w:t>La</w:t>
      </w:r>
      <w:proofErr w:type="gramEnd"/>
      <w:r w:rsidRPr="003A0681">
        <w:rPr>
          <w:rFonts w:ascii="Arial Narrow" w:hAnsi="Arial Narrow" w:cs="Arial"/>
          <w:color w:val="auto"/>
          <w:highlight w:val="yellow"/>
        </w:rPr>
        <w:t xml:space="preserve"> autorización de la Junta está supeditada al estudio y resultado de una calificación de riesgo que deberá demostrar que la entidad tiene capacidad de pago, </w:t>
      </w:r>
      <w:r w:rsidRPr="003A0681">
        <w:rPr>
          <w:rFonts w:ascii="Arial Narrow" w:hAnsi="Arial Narrow"/>
          <w:color w:val="auto"/>
          <w:highlight w:val="yellow"/>
        </w:rPr>
        <w:t>en la que se acredite la capacidad de contraer el e</w:t>
      </w:r>
      <w:bookmarkStart w:id="0" w:name="_GoBack"/>
      <w:bookmarkEnd w:id="0"/>
      <w:r w:rsidRPr="003A0681">
        <w:rPr>
          <w:rFonts w:ascii="Arial Narrow" w:hAnsi="Arial Narrow"/>
          <w:color w:val="auto"/>
          <w:highlight w:val="yellow"/>
        </w:rPr>
        <w:t>ndeudamiento</w:t>
      </w:r>
      <w:r>
        <w:rPr>
          <w:rFonts w:ascii="Arial Narrow" w:hAnsi="Arial Narrow"/>
          <w:color w:val="auto"/>
          <w:highlight w:val="yellow"/>
        </w:rPr>
        <w:t>,</w:t>
      </w:r>
      <w:r w:rsidRPr="003A0681">
        <w:rPr>
          <w:rFonts w:ascii="Arial Narrow" w:hAnsi="Arial Narrow" w:cs="Arial"/>
          <w:color w:val="auto"/>
          <w:highlight w:val="yellow"/>
        </w:rPr>
        <w:t xml:space="preserve"> conforme a lo previsto en la parte considerativa del presente Acuerdo</w:t>
      </w:r>
    </w:p>
    <w:p w14:paraId="30E5DDC3" w14:textId="77777777" w:rsidR="00555038" w:rsidRPr="00D85E4B" w:rsidRDefault="00555038" w:rsidP="00F8681A">
      <w:pPr>
        <w:jc w:val="both"/>
        <w:rPr>
          <w:rFonts w:ascii="Arial Narrow" w:hAnsi="Arial Narrow" w:cs="Arial"/>
          <w:color w:val="auto"/>
        </w:rPr>
      </w:pPr>
    </w:p>
    <w:p w14:paraId="1C88E3F5" w14:textId="48A3F340" w:rsidR="00555038" w:rsidRPr="00D85E4B" w:rsidRDefault="00555038" w:rsidP="00555038">
      <w:pPr>
        <w:jc w:val="both"/>
        <w:rPr>
          <w:rFonts w:ascii="Arial Narrow" w:hAnsi="Arial Narrow" w:cs="Arial"/>
          <w:color w:val="auto"/>
        </w:rPr>
      </w:pPr>
      <w:r w:rsidRPr="00D85E4B">
        <w:rPr>
          <w:rFonts w:ascii="Arial Narrow" w:hAnsi="Arial Narrow" w:cs="Arial"/>
          <w:b/>
          <w:color w:val="auto"/>
        </w:rPr>
        <w:t xml:space="preserve">ARTICULO </w:t>
      </w:r>
      <w:r w:rsidR="003A0681">
        <w:rPr>
          <w:rFonts w:ascii="Arial Narrow" w:hAnsi="Arial Narrow" w:cs="Arial"/>
          <w:b/>
          <w:color w:val="auto"/>
        </w:rPr>
        <w:t>NOVEN</w:t>
      </w:r>
      <w:r w:rsidRPr="00D85E4B">
        <w:rPr>
          <w:rFonts w:ascii="Arial Narrow" w:hAnsi="Arial Narrow" w:cs="Arial"/>
          <w:b/>
          <w:color w:val="auto"/>
        </w:rPr>
        <w:t xml:space="preserve">O: </w:t>
      </w:r>
      <w:r w:rsidR="00CE7583" w:rsidRPr="00D85E4B">
        <w:rPr>
          <w:rFonts w:ascii="Arial Narrow" w:hAnsi="Arial Narrow" w:cs="Arial"/>
          <w:color w:val="auto"/>
        </w:rPr>
        <w:t xml:space="preserve"> </w:t>
      </w:r>
      <w:r w:rsidRPr="00D85E4B">
        <w:rPr>
          <w:rFonts w:ascii="Arial Narrow" w:hAnsi="Arial Narrow" w:cs="Arial"/>
          <w:b/>
          <w:color w:val="auto"/>
        </w:rPr>
        <w:t xml:space="preserve"> </w:t>
      </w:r>
      <w:r w:rsidRPr="00D85E4B">
        <w:rPr>
          <w:rFonts w:ascii="Arial Narrow" w:hAnsi="Arial Narrow" w:cs="Arial"/>
          <w:color w:val="auto"/>
        </w:rPr>
        <w:t xml:space="preserve">Vigencia.  El presente acuerdo rige a partir de su aprobación  </w:t>
      </w:r>
      <w:r w:rsidR="00CE7583" w:rsidRPr="00D85E4B">
        <w:rPr>
          <w:rFonts w:ascii="Arial Narrow" w:hAnsi="Arial Narrow" w:cs="Arial"/>
          <w:color w:val="auto"/>
        </w:rPr>
        <w:t xml:space="preserve">y tiene vigencia por un año  </w:t>
      </w:r>
    </w:p>
    <w:p w14:paraId="45EFEC0D" w14:textId="77777777" w:rsidR="00555038" w:rsidRPr="00344882" w:rsidRDefault="00555038" w:rsidP="00555038">
      <w:pPr>
        <w:jc w:val="both"/>
        <w:rPr>
          <w:rFonts w:ascii="Arial Narrow" w:hAnsi="Arial Narrow" w:cs="Arial"/>
          <w:color w:val="auto"/>
          <w:sz w:val="22"/>
          <w:szCs w:val="22"/>
        </w:rPr>
      </w:pPr>
    </w:p>
    <w:p w14:paraId="40D6E8F1" w14:textId="696B9E51" w:rsidR="00555038" w:rsidRPr="00CE7583" w:rsidRDefault="00555038" w:rsidP="00D85E4B">
      <w:pPr>
        <w:jc w:val="center"/>
        <w:rPr>
          <w:rFonts w:ascii="Arial Narrow" w:hAnsi="Arial Narrow" w:cs="Arial"/>
          <w:b/>
          <w:color w:val="auto"/>
          <w:sz w:val="22"/>
          <w:szCs w:val="22"/>
        </w:rPr>
      </w:pPr>
      <w:r w:rsidRPr="00CE7583">
        <w:rPr>
          <w:rFonts w:ascii="Arial Narrow" w:hAnsi="Arial Narrow" w:cs="Arial"/>
          <w:b/>
          <w:color w:val="auto"/>
          <w:sz w:val="22"/>
          <w:szCs w:val="22"/>
        </w:rPr>
        <w:t>COMUNIQUESE Y CUMPLASE</w:t>
      </w:r>
    </w:p>
    <w:p w14:paraId="0FB337AD" w14:textId="77777777" w:rsidR="00555038" w:rsidRPr="00344882" w:rsidRDefault="00555038" w:rsidP="00555038">
      <w:pPr>
        <w:jc w:val="both"/>
        <w:rPr>
          <w:rFonts w:ascii="Arial Narrow" w:hAnsi="Arial Narrow" w:cs="Arial"/>
          <w:color w:val="auto"/>
          <w:sz w:val="22"/>
          <w:szCs w:val="22"/>
        </w:rPr>
      </w:pPr>
    </w:p>
    <w:p w14:paraId="5E166B38" w14:textId="77777777" w:rsidR="00555038" w:rsidRPr="00344882" w:rsidRDefault="00555038" w:rsidP="00555038">
      <w:pPr>
        <w:jc w:val="both"/>
        <w:rPr>
          <w:rFonts w:ascii="Arial Narrow" w:hAnsi="Arial Narrow" w:cs="Arial"/>
          <w:color w:val="auto"/>
          <w:sz w:val="22"/>
          <w:szCs w:val="22"/>
        </w:rPr>
      </w:pPr>
    </w:p>
    <w:p w14:paraId="1D1C1B9D" w14:textId="77777777" w:rsidR="00555038" w:rsidRPr="00344882" w:rsidRDefault="00555038" w:rsidP="00555038">
      <w:pPr>
        <w:jc w:val="both"/>
        <w:rPr>
          <w:rFonts w:ascii="Arial Narrow" w:hAnsi="Arial Narrow" w:cs="Arial"/>
          <w:color w:val="auto"/>
          <w:sz w:val="22"/>
          <w:szCs w:val="22"/>
        </w:rPr>
      </w:pPr>
    </w:p>
    <w:p w14:paraId="60A58BA6" w14:textId="08D2E2EB" w:rsidR="00555038" w:rsidRPr="00344882" w:rsidRDefault="00D85E4B" w:rsidP="00555038">
      <w:pPr>
        <w:jc w:val="both"/>
        <w:rPr>
          <w:rFonts w:ascii="Arial Narrow" w:hAnsi="Arial Narrow" w:cs="Arial"/>
          <w:b/>
          <w:color w:val="auto"/>
          <w:sz w:val="22"/>
          <w:szCs w:val="22"/>
        </w:rPr>
      </w:pPr>
      <w:r>
        <w:rPr>
          <w:rFonts w:ascii="Arial Narrow" w:hAnsi="Arial Narrow" w:cs="Arial"/>
          <w:b/>
          <w:color w:val="auto"/>
          <w:sz w:val="22"/>
          <w:szCs w:val="22"/>
        </w:rPr>
        <w:t>LIBIA ROSMIRA PERILLA VACCA</w:t>
      </w:r>
      <w:r w:rsidR="00555038" w:rsidRPr="00344882">
        <w:rPr>
          <w:rFonts w:ascii="Arial Narrow" w:hAnsi="Arial Narrow" w:cs="Arial"/>
          <w:b/>
          <w:color w:val="auto"/>
          <w:sz w:val="22"/>
          <w:szCs w:val="22"/>
        </w:rPr>
        <w:tab/>
      </w:r>
      <w:r w:rsidR="00555038" w:rsidRPr="00344882">
        <w:rPr>
          <w:rFonts w:ascii="Arial Narrow" w:hAnsi="Arial Narrow" w:cs="Arial"/>
          <w:b/>
          <w:color w:val="auto"/>
          <w:sz w:val="22"/>
          <w:szCs w:val="22"/>
        </w:rPr>
        <w:tab/>
      </w:r>
      <w:r w:rsidR="00555038" w:rsidRPr="00344882">
        <w:rPr>
          <w:rFonts w:ascii="Arial Narrow" w:hAnsi="Arial Narrow" w:cs="Arial"/>
          <w:b/>
          <w:color w:val="auto"/>
          <w:sz w:val="22"/>
          <w:szCs w:val="22"/>
        </w:rPr>
        <w:tab/>
      </w:r>
      <w:r w:rsidR="00555038" w:rsidRPr="00344882">
        <w:rPr>
          <w:rFonts w:ascii="Arial Narrow" w:hAnsi="Arial Narrow" w:cs="Arial"/>
          <w:b/>
          <w:color w:val="auto"/>
          <w:sz w:val="22"/>
          <w:szCs w:val="22"/>
        </w:rPr>
        <w:tab/>
        <w:t>LUIS CARLOS OLARTE CONTRERAS</w:t>
      </w:r>
    </w:p>
    <w:p w14:paraId="63A58D36" w14:textId="3A54B0FB" w:rsidR="00555038" w:rsidRPr="00344882" w:rsidRDefault="00555038" w:rsidP="00555038">
      <w:pPr>
        <w:jc w:val="both"/>
        <w:rPr>
          <w:rFonts w:ascii="Arial Narrow" w:hAnsi="Arial Narrow" w:cs="Arial"/>
          <w:color w:val="auto"/>
          <w:sz w:val="22"/>
          <w:szCs w:val="22"/>
        </w:rPr>
      </w:pPr>
      <w:r w:rsidRPr="00344882">
        <w:rPr>
          <w:rFonts w:ascii="Arial Narrow" w:hAnsi="Arial Narrow" w:cs="Arial"/>
          <w:color w:val="auto"/>
          <w:sz w:val="22"/>
          <w:szCs w:val="22"/>
        </w:rPr>
        <w:t>Presidente</w:t>
      </w:r>
      <w:r w:rsidRPr="00344882">
        <w:rPr>
          <w:rFonts w:ascii="Arial Narrow" w:hAnsi="Arial Narrow" w:cs="Arial"/>
          <w:color w:val="auto"/>
          <w:sz w:val="22"/>
          <w:szCs w:val="22"/>
        </w:rPr>
        <w:tab/>
      </w:r>
      <w:r w:rsidRPr="00344882">
        <w:rPr>
          <w:rFonts w:ascii="Arial Narrow" w:hAnsi="Arial Narrow" w:cs="Arial"/>
          <w:color w:val="auto"/>
          <w:sz w:val="22"/>
          <w:szCs w:val="22"/>
        </w:rPr>
        <w:tab/>
      </w:r>
      <w:r w:rsidRPr="00344882">
        <w:rPr>
          <w:rFonts w:ascii="Arial Narrow" w:hAnsi="Arial Narrow" w:cs="Arial"/>
          <w:color w:val="auto"/>
          <w:sz w:val="22"/>
          <w:szCs w:val="22"/>
        </w:rPr>
        <w:tab/>
      </w:r>
      <w:r w:rsidRPr="00344882">
        <w:rPr>
          <w:rFonts w:ascii="Arial Narrow" w:hAnsi="Arial Narrow" w:cs="Arial"/>
          <w:color w:val="auto"/>
          <w:sz w:val="22"/>
          <w:szCs w:val="22"/>
        </w:rPr>
        <w:tab/>
      </w:r>
      <w:r w:rsidRPr="00344882">
        <w:rPr>
          <w:rFonts w:ascii="Arial Narrow" w:hAnsi="Arial Narrow" w:cs="Arial"/>
          <w:color w:val="auto"/>
          <w:sz w:val="22"/>
          <w:szCs w:val="22"/>
        </w:rPr>
        <w:tab/>
      </w:r>
      <w:r w:rsidRPr="00344882">
        <w:rPr>
          <w:rFonts w:ascii="Arial Narrow" w:hAnsi="Arial Narrow" w:cs="Arial"/>
          <w:color w:val="auto"/>
          <w:sz w:val="22"/>
          <w:szCs w:val="22"/>
        </w:rPr>
        <w:tab/>
      </w:r>
      <w:r w:rsidRPr="00344882">
        <w:rPr>
          <w:rFonts w:ascii="Arial Narrow" w:hAnsi="Arial Narrow" w:cs="Arial"/>
          <w:color w:val="auto"/>
          <w:sz w:val="22"/>
          <w:szCs w:val="22"/>
        </w:rPr>
        <w:tab/>
        <w:t>Secretario</w:t>
      </w:r>
    </w:p>
    <w:p w14:paraId="737101E8" w14:textId="77777777" w:rsidR="00555038" w:rsidRPr="00344882" w:rsidRDefault="00555038" w:rsidP="00555038">
      <w:pPr>
        <w:jc w:val="both"/>
        <w:rPr>
          <w:rFonts w:ascii="Arial Narrow" w:hAnsi="Arial Narrow" w:cs="Arial"/>
          <w:color w:val="auto"/>
          <w:sz w:val="22"/>
          <w:szCs w:val="22"/>
        </w:rPr>
      </w:pPr>
    </w:p>
    <w:p w14:paraId="19C0E507" w14:textId="4A1B6703" w:rsidR="00555038" w:rsidRPr="00344882" w:rsidRDefault="00555038" w:rsidP="00F8681A">
      <w:pPr>
        <w:jc w:val="both"/>
        <w:rPr>
          <w:rFonts w:ascii="Arial Narrow" w:hAnsi="Arial Narrow" w:cs="Arial"/>
          <w:color w:val="auto"/>
          <w:sz w:val="22"/>
          <w:szCs w:val="22"/>
        </w:rPr>
      </w:pPr>
    </w:p>
    <w:sectPr w:rsidR="00555038" w:rsidRPr="00344882" w:rsidSect="001E69F8">
      <w:headerReference w:type="even" r:id="rId9"/>
      <w:headerReference w:type="default" r:id="rId10"/>
      <w:footerReference w:type="default" r:id="rId11"/>
      <w:headerReference w:type="first" r:id="rId12"/>
      <w:pgSz w:w="12240" w:h="15840" w:code="1"/>
      <w:pgMar w:top="1440" w:right="1440" w:bottom="1440" w:left="1440" w:header="426" w:footer="3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5FF8D" w14:textId="77777777" w:rsidR="00662BA1" w:rsidRDefault="00662BA1">
      <w:r>
        <w:separator/>
      </w:r>
    </w:p>
  </w:endnote>
  <w:endnote w:type="continuationSeparator" w:id="0">
    <w:p w14:paraId="598ED26B" w14:textId="77777777" w:rsidR="00662BA1" w:rsidRDefault="00662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35" w:type="dxa"/>
      <w:jc w:val="center"/>
      <w:tblLayout w:type="fixed"/>
      <w:tblLook w:val="04A0" w:firstRow="1" w:lastRow="0" w:firstColumn="1" w:lastColumn="0" w:noHBand="0" w:noVBand="1"/>
    </w:tblPr>
    <w:tblGrid>
      <w:gridCol w:w="9135"/>
    </w:tblGrid>
    <w:tr w:rsidR="00C45140" w:rsidRPr="00946B59" w14:paraId="4E629CEF" w14:textId="77777777" w:rsidTr="000366B6">
      <w:trPr>
        <w:trHeight w:val="421"/>
        <w:jc w:val="center"/>
      </w:trPr>
      <w:tc>
        <w:tcPr>
          <w:tcW w:w="9135" w:type="dxa"/>
          <w:vAlign w:val="center"/>
        </w:tcPr>
        <w:p w14:paraId="006ADC49" w14:textId="77777777" w:rsidR="00C45140" w:rsidRPr="00946B59" w:rsidRDefault="00C45140" w:rsidP="0099517B">
          <w:pPr>
            <w:tabs>
              <w:tab w:val="center" w:pos="4252"/>
              <w:tab w:val="right" w:pos="8504"/>
            </w:tabs>
            <w:snapToGrid w:val="0"/>
            <w:jc w:val="center"/>
            <w:rPr>
              <w:rFonts w:ascii="Arial" w:hAnsi="Arial" w:cs="Arial"/>
              <w:b/>
              <w:color w:val="auto"/>
              <w:sz w:val="15"/>
              <w:szCs w:val="16"/>
              <w:lang w:eastAsia="es-ES_tradnl"/>
            </w:rPr>
          </w:pPr>
          <w:r w:rsidRPr="00946B59">
            <w:rPr>
              <w:rFonts w:ascii="Arial" w:hAnsi="Arial" w:cs="Arial"/>
              <w:b/>
              <w:color w:val="auto"/>
              <w:sz w:val="15"/>
              <w:szCs w:val="16"/>
              <w:lang w:eastAsia="es-ES_tradnl"/>
            </w:rPr>
            <w:t xml:space="preserve">Calle 4 A Nº 9-101 Barrio Ricaurte –  Teléfono (8) 7282630 -7281746 -7282854 </w:t>
          </w:r>
        </w:p>
        <w:p w14:paraId="1E917C84" w14:textId="77777777" w:rsidR="00C45140" w:rsidRPr="00946B59" w:rsidRDefault="00C45140" w:rsidP="0099517B">
          <w:pPr>
            <w:tabs>
              <w:tab w:val="center" w:pos="4252"/>
              <w:tab w:val="right" w:pos="8504"/>
            </w:tabs>
            <w:snapToGrid w:val="0"/>
            <w:jc w:val="center"/>
            <w:rPr>
              <w:rFonts w:ascii="Arial" w:hAnsi="Arial" w:cs="Arial"/>
              <w:b/>
              <w:color w:val="auto"/>
              <w:sz w:val="16"/>
              <w:szCs w:val="16"/>
              <w:lang w:val="es-ES" w:eastAsia="es-ES_tradnl"/>
            </w:rPr>
          </w:pPr>
          <w:r w:rsidRPr="00946B59">
            <w:rPr>
              <w:rFonts w:ascii="Arial" w:hAnsi="Arial" w:cs="Arial"/>
              <w:b/>
              <w:color w:val="auto"/>
              <w:sz w:val="16"/>
              <w:szCs w:val="16"/>
              <w:lang w:eastAsia="es-ES_tradnl"/>
            </w:rPr>
            <w:t xml:space="preserve">Correo electrónico: </w:t>
          </w:r>
          <w:hyperlink r:id="rId1" w:history="1">
            <w:r w:rsidRPr="00946B59">
              <w:rPr>
                <w:rStyle w:val="Hipervnculo"/>
                <w:rFonts w:ascii="Arial" w:hAnsi="Arial" w:cs="Arial"/>
                <w:b/>
                <w:color w:val="auto"/>
                <w:sz w:val="16"/>
                <w:szCs w:val="16"/>
                <w:lang w:eastAsia="es-ES_tradnl"/>
              </w:rPr>
              <w:t>contactenos@hrm.gov.co</w:t>
            </w:r>
          </w:hyperlink>
          <w:r w:rsidRPr="00946B59">
            <w:rPr>
              <w:rFonts w:ascii="Arial" w:hAnsi="Arial" w:cs="Arial"/>
              <w:b/>
              <w:color w:val="auto"/>
              <w:sz w:val="16"/>
              <w:szCs w:val="16"/>
              <w:lang w:eastAsia="es-ES_tradnl"/>
            </w:rPr>
            <w:t xml:space="preserve">  Página WEB: </w:t>
          </w:r>
          <w:hyperlink r:id="rId2" w:history="1">
            <w:r w:rsidRPr="00946B59">
              <w:rPr>
                <w:rStyle w:val="Hipervnculo"/>
                <w:rFonts w:ascii="Arial" w:hAnsi="Arial" w:cs="Arial"/>
                <w:b/>
                <w:color w:val="auto"/>
                <w:sz w:val="16"/>
                <w:szCs w:val="16"/>
                <w:lang w:eastAsia="es-ES_tradnl"/>
              </w:rPr>
              <w:t>www.hrm.gov.co</w:t>
            </w:r>
          </w:hyperlink>
          <w:r w:rsidRPr="00946B59">
            <w:rPr>
              <w:rFonts w:ascii="Arial" w:hAnsi="Arial" w:cs="Arial"/>
              <w:b/>
              <w:color w:val="auto"/>
              <w:sz w:val="16"/>
              <w:szCs w:val="16"/>
              <w:lang w:eastAsia="es-ES_tradnl"/>
            </w:rPr>
            <w:t xml:space="preserve"> </w:t>
          </w:r>
        </w:p>
      </w:tc>
    </w:tr>
  </w:tbl>
  <w:p w14:paraId="76D4F5F0" w14:textId="77777777" w:rsidR="00C45140" w:rsidRPr="00946B59" w:rsidRDefault="00C45140" w:rsidP="00422585">
    <w:pPr>
      <w:pStyle w:val="Piedepgina"/>
      <w:jc w:val="center"/>
      <w:rPr>
        <w:rFonts w:ascii="Arial" w:hAnsi="Arial" w:cs="Arial"/>
        <w:b/>
        <w:color w:val="auto"/>
        <w:sz w:val="20"/>
        <w:szCs w:val="20"/>
        <w:lang w:val="es-C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23DEF" w14:textId="77777777" w:rsidR="00662BA1" w:rsidRDefault="00662BA1">
      <w:r>
        <w:separator/>
      </w:r>
    </w:p>
  </w:footnote>
  <w:footnote w:type="continuationSeparator" w:id="0">
    <w:p w14:paraId="2F9E5928" w14:textId="77777777" w:rsidR="00662BA1" w:rsidRDefault="00662B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412C0" w14:textId="1DF59AE1" w:rsidR="00C45140" w:rsidRDefault="00B12E2B">
    <w:pPr>
      <w:pStyle w:val="Encabezado"/>
    </w:pPr>
    <w:r>
      <w:rPr>
        <w:noProof/>
        <w:lang w:val="es-CO"/>
      </w:rPr>
      <w:pict w14:anchorId="724379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218891" o:spid="_x0000_s2050" type="#_x0000_t75" style="position:absolute;margin-left:0;margin-top:0;width:468.05pt;height:378.3pt;z-index:-251655168;mso-position-horizontal:center;mso-position-horizontal-relative:margin;mso-position-vertical:center;mso-position-vertical-relative:margin" o:allowincell="f">
          <v:imagedata r:id="rId1" o:title="LOGO MONIQUIR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1F081" w14:textId="77777777" w:rsidR="00C45140" w:rsidRDefault="00C45140" w:rsidP="000366B6">
    <w:pPr>
      <w:pStyle w:val="Encabezado"/>
      <w:jc w:val="center"/>
      <w:rPr>
        <w:rFonts w:ascii="Arial" w:hAnsi="Arial" w:cs="Arial"/>
        <w:color w:val="auto"/>
      </w:rPr>
    </w:pPr>
  </w:p>
  <w:p w14:paraId="55230EDB" w14:textId="187A0F8A" w:rsidR="00C45140" w:rsidRDefault="00C45140" w:rsidP="000366B6">
    <w:pPr>
      <w:pStyle w:val="Encabezado"/>
      <w:jc w:val="center"/>
      <w:rPr>
        <w:rFonts w:ascii="Arial" w:hAnsi="Arial" w:cs="Arial"/>
        <w:color w:val="auto"/>
      </w:rPr>
    </w:pPr>
    <w:r w:rsidRPr="000366B6">
      <w:rPr>
        <w:rFonts w:ascii="Arial" w:hAnsi="Arial" w:cs="Arial"/>
        <w:noProof/>
        <w:color w:val="auto"/>
        <w:sz w:val="22"/>
        <w:szCs w:val="22"/>
        <w:lang w:val="es-CO"/>
      </w:rPr>
      <w:drawing>
        <wp:anchor distT="0" distB="0" distL="114300" distR="114300" simplePos="0" relativeHeight="251664384" behindDoc="0" locked="0" layoutInCell="1" allowOverlap="1" wp14:anchorId="271E5CE7" wp14:editId="4E795718">
          <wp:simplePos x="0" y="0"/>
          <wp:positionH relativeFrom="margin">
            <wp:align>left</wp:align>
          </wp:positionH>
          <wp:positionV relativeFrom="paragraph">
            <wp:posOffset>-3810</wp:posOffset>
          </wp:positionV>
          <wp:extent cx="904875" cy="647700"/>
          <wp:effectExtent l="0" t="0" r="9525" b="0"/>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647700"/>
                  </a:xfrm>
                  <a:prstGeom prst="rect">
                    <a:avLst/>
                  </a:prstGeom>
                  <a:noFill/>
                </pic:spPr>
              </pic:pic>
            </a:graphicData>
          </a:graphic>
          <wp14:sizeRelH relativeFrom="page">
            <wp14:pctWidth>0</wp14:pctWidth>
          </wp14:sizeRelH>
          <wp14:sizeRelV relativeFrom="page">
            <wp14:pctHeight>0</wp14:pctHeight>
          </wp14:sizeRelV>
        </wp:anchor>
      </w:drawing>
    </w:r>
    <w:r w:rsidRPr="000366B6">
      <w:rPr>
        <w:rFonts w:ascii="Arial" w:hAnsi="Arial" w:cs="Arial"/>
        <w:color w:val="auto"/>
      </w:rPr>
      <w:t>HOSPITAL REGIONAL DE MONIQUIRA E.S.E</w:t>
    </w:r>
  </w:p>
  <w:p w14:paraId="56888D78" w14:textId="77777777" w:rsidR="00C45140" w:rsidRPr="00946B59" w:rsidRDefault="00C45140" w:rsidP="000366B6">
    <w:pPr>
      <w:tabs>
        <w:tab w:val="center" w:pos="4252"/>
        <w:tab w:val="right" w:pos="8504"/>
      </w:tabs>
      <w:snapToGrid w:val="0"/>
      <w:jc w:val="center"/>
      <w:rPr>
        <w:rFonts w:ascii="Arial" w:hAnsi="Arial" w:cs="Arial"/>
        <w:b/>
        <w:color w:val="auto"/>
        <w:sz w:val="15"/>
        <w:szCs w:val="16"/>
        <w:lang w:val="es-ES" w:eastAsia="es-ES_tradnl"/>
      </w:rPr>
    </w:pPr>
    <w:r>
      <w:rPr>
        <w:rFonts w:cs="Arial"/>
        <w:b/>
        <w:bCs/>
        <w:color w:val="000000"/>
        <w:sz w:val="22"/>
        <w:szCs w:val="22"/>
      </w:rPr>
      <w:t>“</w:t>
    </w:r>
    <w:r w:rsidRPr="00C84455">
      <w:rPr>
        <w:rFonts w:ascii="Bradley Hand ITC" w:hAnsi="Bradley Hand ITC" w:cs="Arial"/>
        <w:b/>
        <w:bCs/>
        <w:color w:val="000000"/>
        <w:sz w:val="22"/>
        <w:szCs w:val="22"/>
      </w:rPr>
      <w:t>COMPROMETIDOS CON SU SALUD</w:t>
    </w:r>
    <w:r>
      <w:rPr>
        <w:rFonts w:cs="Arial"/>
        <w:b/>
        <w:bCs/>
        <w:color w:val="000000"/>
        <w:sz w:val="22"/>
        <w:szCs w:val="22"/>
      </w:rPr>
      <w:t>”</w:t>
    </w:r>
  </w:p>
  <w:p w14:paraId="32AE1EAD" w14:textId="5CDBAB43" w:rsidR="00C45140" w:rsidRPr="000366B6" w:rsidRDefault="00C45140" w:rsidP="000366B6">
    <w:pPr>
      <w:pStyle w:val="Encabezado"/>
      <w:jc w:val="center"/>
      <w:rPr>
        <w:rFonts w:ascii="Arial" w:hAnsi="Arial" w:cs="Arial"/>
        <w:color w:val="auto"/>
      </w:rPr>
    </w:pPr>
    <w:r w:rsidRPr="000366B6">
      <w:rPr>
        <w:rFonts w:ascii="Arial" w:hAnsi="Arial" w:cs="Arial"/>
        <w:color w:val="auto"/>
      </w:rPr>
      <w:t>NIT. 891.800.395-1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E9B34" w14:textId="623EEF52" w:rsidR="00C45140" w:rsidRDefault="00B12E2B">
    <w:pPr>
      <w:pStyle w:val="Encabezado"/>
    </w:pPr>
    <w:r>
      <w:rPr>
        <w:noProof/>
        <w:lang w:val="es-CO"/>
      </w:rPr>
      <w:pict w14:anchorId="23701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218890" o:spid="_x0000_s2049" type="#_x0000_t75" style="position:absolute;margin-left:0;margin-top:0;width:468.05pt;height:378.3pt;z-index:-251656192;mso-position-horizontal:center;mso-position-horizontal-relative:margin;mso-position-vertical:center;mso-position-vertical-relative:margin" o:allowincell="f">
          <v:imagedata r:id="rId1" o:title="LOGO MONIQUIRA"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B198E"/>
    <w:multiLevelType w:val="singleLevel"/>
    <w:tmpl w:val="57BE9968"/>
    <w:lvl w:ilvl="0">
      <w:start w:val="1"/>
      <w:numFmt w:val="lowerLetter"/>
      <w:lvlText w:val="%1."/>
      <w:legacy w:legacy="1" w:legacySpace="0" w:legacyIndent="283"/>
      <w:lvlJc w:val="left"/>
      <w:pPr>
        <w:ind w:left="283" w:hanging="283"/>
      </w:pPr>
      <w:rPr>
        <w:rFonts w:ascii="Arial Narrow" w:eastAsia="Calibri" w:hAnsi="Arial Narrow" w:cs="Arial" w:hint="default"/>
        <w:b w:val="0"/>
        <w:i w:val="0"/>
        <w:sz w:val="24"/>
        <w:szCs w:val="24"/>
      </w:rPr>
    </w:lvl>
  </w:abstractNum>
  <w:abstractNum w:abstractNumId="1" w15:restartNumberingAfterBreak="0">
    <w:nsid w:val="1B984B20"/>
    <w:multiLevelType w:val="hybridMultilevel"/>
    <w:tmpl w:val="86B8C6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2C81C89"/>
    <w:multiLevelType w:val="hybridMultilevel"/>
    <w:tmpl w:val="D02A726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2D221C6D"/>
    <w:multiLevelType w:val="hybridMultilevel"/>
    <w:tmpl w:val="6F9E7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EC97130"/>
    <w:multiLevelType w:val="singleLevel"/>
    <w:tmpl w:val="25EC1DC2"/>
    <w:lvl w:ilvl="0">
      <w:start w:val="1"/>
      <w:numFmt w:val="lowerLetter"/>
      <w:lvlText w:val="%1."/>
      <w:legacy w:legacy="1" w:legacySpace="0" w:legacyIndent="283"/>
      <w:lvlJc w:val="left"/>
      <w:pPr>
        <w:ind w:left="283" w:hanging="283"/>
      </w:pPr>
      <w:rPr>
        <w:rFonts w:ascii="Arial Narrow" w:eastAsia="Times New Roman" w:hAnsi="Arial Narrow" w:cs="Arial"/>
        <w:b w:val="0"/>
        <w:i w:val="0"/>
        <w:sz w:val="24"/>
        <w:szCs w:val="24"/>
      </w:rPr>
    </w:lvl>
  </w:abstractNum>
  <w:abstractNum w:abstractNumId="5" w15:restartNumberingAfterBreak="0">
    <w:nsid w:val="64CB0F98"/>
    <w:multiLevelType w:val="hybridMultilevel"/>
    <w:tmpl w:val="1E96EC7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5EB3D32"/>
    <w:multiLevelType w:val="hybridMultilevel"/>
    <w:tmpl w:val="D1CAA7D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68740331"/>
    <w:multiLevelType w:val="hybridMultilevel"/>
    <w:tmpl w:val="E1AC3B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3751693"/>
    <w:multiLevelType w:val="hybridMultilevel"/>
    <w:tmpl w:val="B694F1A2"/>
    <w:lvl w:ilvl="0" w:tplc="240A000D">
      <w:start w:val="1"/>
      <w:numFmt w:val="bullet"/>
      <w:lvlText w:val=""/>
      <w:lvlJc w:val="left"/>
      <w:pPr>
        <w:ind w:left="720" w:hanging="360"/>
      </w:pPr>
      <w:rPr>
        <w:rFonts w:ascii="Wingdings" w:hAnsi="Wingdings" w:hint="default"/>
      </w:rPr>
    </w:lvl>
    <w:lvl w:ilvl="1" w:tplc="240A000D">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6847A75"/>
    <w:multiLevelType w:val="hybridMultilevel"/>
    <w:tmpl w:val="4404DD68"/>
    <w:lvl w:ilvl="0" w:tplc="5A9C6EEA">
      <w:start w:val="1"/>
      <w:numFmt w:val="decimal"/>
      <w:lvlText w:val="%1."/>
      <w:lvlJc w:val="left"/>
      <w:pPr>
        <w:ind w:left="720" w:hanging="360"/>
      </w:pPr>
      <w:rPr>
        <w:rFonts w:ascii="Arial Narrow" w:eastAsia="Times New Roman" w:hAnsi="Arial Narrow"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9007FA"/>
    <w:multiLevelType w:val="multilevel"/>
    <w:tmpl w:val="CBFE50A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0"/>
  </w:num>
  <w:num w:numId="2">
    <w:abstractNumId w:val="2"/>
  </w:num>
  <w:num w:numId="3">
    <w:abstractNumId w:val="1"/>
  </w:num>
  <w:num w:numId="4">
    <w:abstractNumId w:val="8"/>
  </w:num>
  <w:num w:numId="5">
    <w:abstractNumId w:val="6"/>
  </w:num>
  <w:num w:numId="6">
    <w:abstractNumId w:val="10"/>
  </w:num>
  <w:num w:numId="7">
    <w:abstractNumId w:val="4"/>
  </w:num>
  <w:num w:numId="8">
    <w:abstractNumId w:val="9"/>
  </w:num>
  <w:num w:numId="9">
    <w:abstractNumId w:val="3"/>
  </w:num>
  <w:num w:numId="10">
    <w:abstractNumId w:val="5"/>
  </w:num>
  <w:num w:numId="1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efaultTableStyle w:val="Tablacontema"/>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AAB"/>
    <w:rsid w:val="00015235"/>
    <w:rsid w:val="00021525"/>
    <w:rsid w:val="000366B6"/>
    <w:rsid w:val="00042FE3"/>
    <w:rsid w:val="000469BC"/>
    <w:rsid w:val="00052FE9"/>
    <w:rsid w:val="000542F1"/>
    <w:rsid w:val="00054806"/>
    <w:rsid w:val="00056276"/>
    <w:rsid w:val="000709D3"/>
    <w:rsid w:val="00071450"/>
    <w:rsid w:val="000753F2"/>
    <w:rsid w:val="00075AFB"/>
    <w:rsid w:val="000779D2"/>
    <w:rsid w:val="00077D3F"/>
    <w:rsid w:val="00086D54"/>
    <w:rsid w:val="000915E7"/>
    <w:rsid w:val="00093F21"/>
    <w:rsid w:val="000A3EEE"/>
    <w:rsid w:val="000B05CA"/>
    <w:rsid w:val="000B13DA"/>
    <w:rsid w:val="000B5FE5"/>
    <w:rsid w:val="000C5296"/>
    <w:rsid w:val="000C5F31"/>
    <w:rsid w:val="000C7BAF"/>
    <w:rsid w:val="000D2DEB"/>
    <w:rsid w:val="000D390B"/>
    <w:rsid w:val="000D6A72"/>
    <w:rsid w:val="000E3EDD"/>
    <w:rsid w:val="000E4983"/>
    <w:rsid w:val="00107103"/>
    <w:rsid w:val="00114AEF"/>
    <w:rsid w:val="00114EC2"/>
    <w:rsid w:val="00115F50"/>
    <w:rsid w:val="00117BE6"/>
    <w:rsid w:val="0012040E"/>
    <w:rsid w:val="00131923"/>
    <w:rsid w:val="0014458E"/>
    <w:rsid w:val="0014768B"/>
    <w:rsid w:val="00157B65"/>
    <w:rsid w:val="00160466"/>
    <w:rsid w:val="00170132"/>
    <w:rsid w:val="00187171"/>
    <w:rsid w:val="00192204"/>
    <w:rsid w:val="00196503"/>
    <w:rsid w:val="00196D99"/>
    <w:rsid w:val="001979BF"/>
    <w:rsid w:val="00197BBB"/>
    <w:rsid w:val="001A0B25"/>
    <w:rsid w:val="001A0F3A"/>
    <w:rsid w:val="001A3ED3"/>
    <w:rsid w:val="001A7137"/>
    <w:rsid w:val="001B0971"/>
    <w:rsid w:val="001B25D2"/>
    <w:rsid w:val="001B42AC"/>
    <w:rsid w:val="001B6C12"/>
    <w:rsid w:val="001C1924"/>
    <w:rsid w:val="001C4294"/>
    <w:rsid w:val="001C6C04"/>
    <w:rsid w:val="001D0DEC"/>
    <w:rsid w:val="001D3B37"/>
    <w:rsid w:val="001D4654"/>
    <w:rsid w:val="001D4CA6"/>
    <w:rsid w:val="001E4634"/>
    <w:rsid w:val="001E47D7"/>
    <w:rsid w:val="001E69F8"/>
    <w:rsid w:val="001E6F31"/>
    <w:rsid w:val="001F4F6A"/>
    <w:rsid w:val="001F711C"/>
    <w:rsid w:val="00205802"/>
    <w:rsid w:val="00215601"/>
    <w:rsid w:val="002210AA"/>
    <w:rsid w:val="00221454"/>
    <w:rsid w:val="00223D11"/>
    <w:rsid w:val="00224E88"/>
    <w:rsid w:val="0023551A"/>
    <w:rsid w:val="00240867"/>
    <w:rsid w:val="0024254F"/>
    <w:rsid w:val="00243784"/>
    <w:rsid w:val="002440BB"/>
    <w:rsid w:val="002501E5"/>
    <w:rsid w:val="002747B0"/>
    <w:rsid w:val="00275830"/>
    <w:rsid w:val="00282FA8"/>
    <w:rsid w:val="00285A92"/>
    <w:rsid w:val="002A489E"/>
    <w:rsid w:val="002A561B"/>
    <w:rsid w:val="002A633B"/>
    <w:rsid w:val="002B078D"/>
    <w:rsid w:val="002B4409"/>
    <w:rsid w:val="002C1DC8"/>
    <w:rsid w:val="002C7147"/>
    <w:rsid w:val="002D0B28"/>
    <w:rsid w:val="002D276F"/>
    <w:rsid w:val="002D590E"/>
    <w:rsid w:val="002E2732"/>
    <w:rsid w:val="002E503F"/>
    <w:rsid w:val="002F62F9"/>
    <w:rsid w:val="002F6990"/>
    <w:rsid w:val="00301573"/>
    <w:rsid w:val="00302CA9"/>
    <w:rsid w:val="00303D0E"/>
    <w:rsid w:val="003041C2"/>
    <w:rsid w:val="003113CD"/>
    <w:rsid w:val="003302B5"/>
    <w:rsid w:val="00344882"/>
    <w:rsid w:val="00344BC5"/>
    <w:rsid w:val="00347677"/>
    <w:rsid w:val="003501EA"/>
    <w:rsid w:val="00357A0E"/>
    <w:rsid w:val="00383613"/>
    <w:rsid w:val="003A0681"/>
    <w:rsid w:val="003A3895"/>
    <w:rsid w:val="003A737B"/>
    <w:rsid w:val="003A7E50"/>
    <w:rsid w:val="003D39B7"/>
    <w:rsid w:val="003D4D60"/>
    <w:rsid w:val="003E0A2F"/>
    <w:rsid w:val="003E1747"/>
    <w:rsid w:val="003E28B3"/>
    <w:rsid w:val="003E2D69"/>
    <w:rsid w:val="003E7E24"/>
    <w:rsid w:val="003F1FA9"/>
    <w:rsid w:val="003F41C9"/>
    <w:rsid w:val="00407E7E"/>
    <w:rsid w:val="004105F2"/>
    <w:rsid w:val="00410646"/>
    <w:rsid w:val="00410C08"/>
    <w:rsid w:val="00411540"/>
    <w:rsid w:val="00414731"/>
    <w:rsid w:val="00420EBB"/>
    <w:rsid w:val="00422585"/>
    <w:rsid w:val="0042357E"/>
    <w:rsid w:val="00430C2A"/>
    <w:rsid w:val="00431538"/>
    <w:rsid w:val="00434F72"/>
    <w:rsid w:val="00436C03"/>
    <w:rsid w:val="00437B52"/>
    <w:rsid w:val="0044029F"/>
    <w:rsid w:val="00444994"/>
    <w:rsid w:val="00460B36"/>
    <w:rsid w:val="00461792"/>
    <w:rsid w:val="00467DFD"/>
    <w:rsid w:val="0047012E"/>
    <w:rsid w:val="004947FD"/>
    <w:rsid w:val="00495653"/>
    <w:rsid w:val="00496BBB"/>
    <w:rsid w:val="004A6A46"/>
    <w:rsid w:val="004A7643"/>
    <w:rsid w:val="004B7233"/>
    <w:rsid w:val="004C6418"/>
    <w:rsid w:val="004C728F"/>
    <w:rsid w:val="004D06DE"/>
    <w:rsid w:val="004D45A4"/>
    <w:rsid w:val="004D68BE"/>
    <w:rsid w:val="004D7BFE"/>
    <w:rsid w:val="004E4782"/>
    <w:rsid w:val="005144A2"/>
    <w:rsid w:val="0051549F"/>
    <w:rsid w:val="00522DA3"/>
    <w:rsid w:val="00525AAB"/>
    <w:rsid w:val="005309E9"/>
    <w:rsid w:val="00533E76"/>
    <w:rsid w:val="0054169D"/>
    <w:rsid w:val="005443AB"/>
    <w:rsid w:val="00553A25"/>
    <w:rsid w:val="00553A97"/>
    <w:rsid w:val="00555038"/>
    <w:rsid w:val="005611D7"/>
    <w:rsid w:val="005736C5"/>
    <w:rsid w:val="005762B3"/>
    <w:rsid w:val="00577841"/>
    <w:rsid w:val="005808E9"/>
    <w:rsid w:val="00581F08"/>
    <w:rsid w:val="00582113"/>
    <w:rsid w:val="00584F1A"/>
    <w:rsid w:val="0058629E"/>
    <w:rsid w:val="005938E0"/>
    <w:rsid w:val="005B32A6"/>
    <w:rsid w:val="005B3AB8"/>
    <w:rsid w:val="005B427D"/>
    <w:rsid w:val="005B67F1"/>
    <w:rsid w:val="005B75AB"/>
    <w:rsid w:val="005C2993"/>
    <w:rsid w:val="005C48DD"/>
    <w:rsid w:val="005C4ECF"/>
    <w:rsid w:val="005C4F1C"/>
    <w:rsid w:val="005C6F6C"/>
    <w:rsid w:val="005C790D"/>
    <w:rsid w:val="005D1409"/>
    <w:rsid w:val="005D6539"/>
    <w:rsid w:val="00603138"/>
    <w:rsid w:val="00616CF6"/>
    <w:rsid w:val="00633AA5"/>
    <w:rsid w:val="00635AFD"/>
    <w:rsid w:val="00635F2E"/>
    <w:rsid w:val="00644B9F"/>
    <w:rsid w:val="006454CF"/>
    <w:rsid w:val="00654B93"/>
    <w:rsid w:val="0066049F"/>
    <w:rsid w:val="00662BA1"/>
    <w:rsid w:val="006653FD"/>
    <w:rsid w:val="006654AB"/>
    <w:rsid w:val="0068357C"/>
    <w:rsid w:val="006854A2"/>
    <w:rsid w:val="006A2F6F"/>
    <w:rsid w:val="006A7F17"/>
    <w:rsid w:val="006B74EB"/>
    <w:rsid w:val="006C11A1"/>
    <w:rsid w:val="006C22F0"/>
    <w:rsid w:val="006C2CDC"/>
    <w:rsid w:val="006C5901"/>
    <w:rsid w:val="006D6234"/>
    <w:rsid w:val="006D687D"/>
    <w:rsid w:val="006E2888"/>
    <w:rsid w:val="006E31EB"/>
    <w:rsid w:val="006E4D1C"/>
    <w:rsid w:val="006E548B"/>
    <w:rsid w:val="006F1F0A"/>
    <w:rsid w:val="006F1FA4"/>
    <w:rsid w:val="00702A45"/>
    <w:rsid w:val="00703A42"/>
    <w:rsid w:val="00714C3A"/>
    <w:rsid w:val="00715F19"/>
    <w:rsid w:val="007165AF"/>
    <w:rsid w:val="007176E8"/>
    <w:rsid w:val="00722331"/>
    <w:rsid w:val="00726BAE"/>
    <w:rsid w:val="00731B89"/>
    <w:rsid w:val="00733A39"/>
    <w:rsid w:val="00745F40"/>
    <w:rsid w:val="00750F25"/>
    <w:rsid w:val="00756551"/>
    <w:rsid w:val="0076103F"/>
    <w:rsid w:val="00771E4C"/>
    <w:rsid w:val="00773F68"/>
    <w:rsid w:val="00775567"/>
    <w:rsid w:val="00775A4F"/>
    <w:rsid w:val="00787D9A"/>
    <w:rsid w:val="007A13A6"/>
    <w:rsid w:val="007B10F3"/>
    <w:rsid w:val="007B2E58"/>
    <w:rsid w:val="007C61A3"/>
    <w:rsid w:val="007D31BC"/>
    <w:rsid w:val="007E0EFD"/>
    <w:rsid w:val="007E1D24"/>
    <w:rsid w:val="007E24FE"/>
    <w:rsid w:val="007E4B6B"/>
    <w:rsid w:val="007E5888"/>
    <w:rsid w:val="007F516E"/>
    <w:rsid w:val="007F6F83"/>
    <w:rsid w:val="008062B0"/>
    <w:rsid w:val="008173C4"/>
    <w:rsid w:val="00817809"/>
    <w:rsid w:val="00821F19"/>
    <w:rsid w:val="008226CE"/>
    <w:rsid w:val="00822D6E"/>
    <w:rsid w:val="00827930"/>
    <w:rsid w:val="008300A4"/>
    <w:rsid w:val="00833246"/>
    <w:rsid w:val="0083594A"/>
    <w:rsid w:val="0083634F"/>
    <w:rsid w:val="00837DEE"/>
    <w:rsid w:val="00840B08"/>
    <w:rsid w:val="008416BA"/>
    <w:rsid w:val="00842516"/>
    <w:rsid w:val="00862CAA"/>
    <w:rsid w:val="00873C5F"/>
    <w:rsid w:val="008740D4"/>
    <w:rsid w:val="00883B8F"/>
    <w:rsid w:val="00894545"/>
    <w:rsid w:val="00895FD4"/>
    <w:rsid w:val="008A3914"/>
    <w:rsid w:val="008B67A8"/>
    <w:rsid w:val="008C091F"/>
    <w:rsid w:val="008C1A85"/>
    <w:rsid w:val="008C6A51"/>
    <w:rsid w:val="008D33CB"/>
    <w:rsid w:val="008E374F"/>
    <w:rsid w:val="008F0D8F"/>
    <w:rsid w:val="008F3854"/>
    <w:rsid w:val="008F7AB1"/>
    <w:rsid w:val="009043CE"/>
    <w:rsid w:val="00904853"/>
    <w:rsid w:val="00906F62"/>
    <w:rsid w:val="00907CD5"/>
    <w:rsid w:val="009149D3"/>
    <w:rsid w:val="00915817"/>
    <w:rsid w:val="0092472C"/>
    <w:rsid w:val="009250A8"/>
    <w:rsid w:val="0093184B"/>
    <w:rsid w:val="00931E4D"/>
    <w:rsid w:val="0093432E"/>
    <w:rsid w:val="009347ED"/>
    <w:rsid w:val="0094367E"/>
    <w:rsid w:val="00944B73"/>
    <w:rsid w:val="00946B59"/>
    <w:rsid w:val="00947CCF"/>
    <w:rsid w:val="00952A62"/>
    <w:rsid w:val="00953D0E"/>
    <w:rsid w:val="009567D9"/>
    <w:rsid w:val="009603D2"/>
    <w:rsid w:val="009621E9"/>
    <w:rsid w:val="009661F1"/>
    <w:rsid w:val="00985CF7"/>
    <w:rsid w:val="00993E21"/>
    <w:rsid w:val="0099517B"/>
    <w:rsid w:val="00996436"/>
    <w:rsid w:val="009966C5"/>
    <w:rsid w:val="009A5647"/>
    <w:rsid w:val="009A7F11"/>
    <w:rsid w:val="009B09B9"/>
    <w:rsid w:val="009B0E72"/>
    <w:rsid w:val="009B1328"/>
    <w:rsid w:val="009B4225"/>
    <w:rsid w:val="009C37BF"/>
    <w:rsid w:val="009C543C"/>
    <w:rsid w:val="009C6ECE"/>
    <w:rsid w:val="009E685A"/>
    <w:rsid w:val="00A0427C"/>
    <w:rsid w:val="00A27C76"/>
    <w:rsid w:val="00A30F5F"/>
    <w:rsid w:val="00A51F4A"/>
    <w:rsid w:val="00A56921"/>
    <w:rsid w:val="00A60122"/>
    <w:rsid w:val="00A60CCF"/>
    <w:rsid w:val="00A6492D"/>
    <w:rsid w:val="00A815DD"/>
    <w:rsid w:val="00A90232"/>
    <w:rsid w:val="00A90440"/>
    <w:rsid w:val="00A915D9"/>
    <w:rsid w:val="00A957AC"/>
    <w:rsid w:val="00AA020A"/>
    <w:rsid w:val="00AA58E6"/>
    <w:rsid w:val="00AB0E91"/>
    <w:rsid w:val="00AC0D23"/>
    <w:rsid w:val="00AC5C97"/>
    <w:rsid w:val="00AC6299"/>
    <w:rsid w:val="00AD3255"/>
    <w:rsid w:val="00AD4844"/>
    <w:rsid w:val="00AE3F83"/>
    <w:rsid w:val="00B036A4"/>
    <w:rsid w:val="00B0618A"/>
    <w:rsid w:val="00B1272D"/>
    <w:rsid w:val="00B12E2B"/>
    <w:rsid w:val="00B2093B"/>
    <w:rsid w:val="00B21F0F"/>
    <w:rsid w:val="00B3311E"/>
    <w:rsid w:val="00B43DB2"/>
    <w:rsid w:val="00B45C73"/>
    <w:rsid w:val="00B46706"/>
    <w:rsid w:val="00B65D16"/>
    <w:rsid w:val="00B66478"/>
    <w:rsid w:val="00B668D6"/>
    <w:rsid w:val="00B73FD0"/>
    <w:rsid w:val="00B86C73"/>
    <w:rsid w:val="00B87F72"/>
    <w:rsid w:val="00B9581C"/>
    <w:rsid w:val="00B95AB9"/>
    <w:rsid w:val="00B9713C"/>
    <w:rsid w:val="00BA16BD"/>
    <w:rsid w:val="00BA2254"/>
    <w:rsid w:val="00BA23A1"/>
    <w:rsid w:val="00BA2792"/>
    <w:rsid w:val="00BA4100"/>
    <w:rsid w:val="00BA5226"/>
    <w:rsid w:val="00BA5982"/>
    <w:rsid w:val="00BB6244"/>
    <w:rsid w:val="00BC6F99"/>
    <w:rsid w:val="00BD2C52"/>
    <w:rsid w:val="00BD5AB0"/>
    <w:rsid w:val="00BE1862"/>
    <w:rsid w:val="00BE1EB2"/>
    <w:rsid w:val="00BF1728"/>
    <w:rsid w:val="00C11539"/>
    <w:rsid w:val="00C11876"/>
    <w:rsid w:val="00C12D98"/>
    <w:rsid w:val="00C15FF7"/>
    <w:rsid w:val="00C17D8B"/>
    <w:rsid w:val="00C222EC"/>
    <w:rsid w:val="00C24521"/>
    <w:rsid w:val="00C24EAA"/>
    <w:rsid w:val="00C30FF0"/>
    <w:rsid w:val="00C33BCC"/>
    <w:rsid w:val="00C34E7A"/>
    <w:rsid w:val="00C3799E"/>
    <w:rsid w:val="00C4364D"/>
    <w:rsid w:val="00C44A60"/>
    <w:rsid w:val="00C45140"/>
    <w:rsid w:val="00C4516A"/>
    <w:rsid w:val="00C46627"/>
    <w:rsid w:val="00C47BB8"/>
    <w:rsid w:val="00C54E19"/>
    <w:rsid w:val="00C56F70"/>
    <w:rsid w:val="00C61388"/>
    <w:rsid w:val="00C63DA2"/>
    <w:rsid w:val="00C65320"/>
    <w:rsid w:val="00C71929"/>
    <w:rsid w:val="00C80DFE"/>
    <w:rsid w:val="00C84455"/>
    <w:rsid w:val="00C84A1F"/>
    <w:rsid w:val="00C86134"/>
    <w:rsid w:val="00C9134D"/>
    <w:rsid w:val="00CA131A"/>
    <w:rsid w:val="00CA1DD4"/>
    <w:rsid w:val="00CA67CA"/>
    <w:rsid w:val="00CB0EC8"/>
    <w:rsid w:val="00CB20EB"/>
    <w:rsid w:val="00CC67C3"/>
    <w:rsid w:val="00CC7A16"/>
    <w:rsid w:val="00CC7D9D"/>
    <w:rsid w:val="00CD0411"/>
    <w:rsid w:val="00CD2A33"/>
    <w:rsid w:val="00CD2BA7"/>
    <w:rsid w:val="00CE2BC3"/>
    <w:rsid w:val="00CE3E6D"/>
    <w:rsid w:val="00CE7583"/>
    <w:rsid w:val="00CF430F"/>
    <w:rsid w:val="00CF4EF5"/>
    <w:rsid w:val="00D00FDA"/>
    <w:rsid w:val="00D018C1"/>
    <w:rsid w:val="00D02E79"/>
    <w:rsid w:val="00D038F1"/>
    <w:rsid w:val="00D11CDB"/>
    <w:rsid w:val="00D15758"/>
    <w:rsid w:val="00D222BC"/>
    <w:rsid w:val="00D22454"/>
    <w:rsid w:val="00D30EC7"/>
    <w:rsid w:val="00D34402"/>
    <w:rsid w:val="00D70A3E"/>
    <w:rsid w:val="00D80572"/>
    <w:rsid w:val="00D80F00"/>
    <w:rsid w:val="00D85E4B"/>
    <w:rsid w:val="00DA2938"/>
    <w:rsid w:val="00DA6CD0"/>
    <w:rsid w:val="00DB4BE8"/>
    <w:rsid w:val="00DB544F"/>
    <w:rsid w:val="00DC718A"/>
    <w:rsid w:val="00DD0BF0"/>
    <w:rsid w:val="00DD52C5"/>
    <w:rsid w:val="00DD7D60"/>
    <w:rsid w:val="00DE2C6F"/>
    <w:rsid w:val="00DE6AF0"/>
    <w:rsid w:val="00DE782D"/>
    <w:rsid w:val="00DF4380"/>
    <w:rsid w:val="00E07095"/>
    <w:rsid w:val="00E12E29"/>
    <w:rsid w:val="00E130CE"/>
    <w:rsid w:val="00E1326A"/>
    <w:rsid w:val="00E15BB5"/>
    <w:rsid w:val="00E2293E"/>
    <w:rsid w:val="00E279A8"/>
    <w:rsid w:val="00E31243"/>
    <w:rsid w:val="00E32413"/>
    <w:rsid w:val="00E3275C"/>
    <w:rsid w:val="00E367C7"/>
    <w:rsid w:val="00E368F9"/>
    <w:rsid w:val="00E45964"/>
    <w:rsid w:val="00E4672C"/>
    <w:rsid w:val="00E5026B"/>
    <w:rsid w:val="00E50F87"/>
    <w:rsid w:val="00E527FA"/>
    <w:rsid w:val="00E56623"/>
    <w:rsid w:val="00E61D13"/>
    <w:rsid w:val="00E77390"/>
    <w:rsid w:val="00E82D0E"/>
    <w:rsid w:val="00E832CF"/>
    <w:rsid w:val="00E92E91"/>
    <w:rsid w:val="00E94183"/>
    <w:rsid w:val="00EA15F6"/>
    <w:rsid w:val="00EA203C"/>
    <w:rsid w:val="00EA352D"/>
    <w:rsid w:val="00EA3EEC"/>
    <w:rsid w:val="00EB0AC8"/>
    <w:rsid w:val="00EB73E9"/>
    <w:rsid w:val="00EC45EB"/>
    <w:rsid w:val="00EC5093"/>
    <w:rsid w:val="00EC5BD6"/>
    <w:rsid w:val="00EC5D07"/>
    <w:rsid w:val="00ED0FD4"/>
    <w:rsid w:val="00ED3659"/>
    <w:rsid w:val="00ED550C"/>
    <w:rsid w:val="00F07F92"/>
    <w:rsid w:val="00F12E49"/>
    <w:rsid w:val="00F21550"/>
    <w:rsid w:val="00F27247"/>
    <w:rsid w:val="00F41D72"/>
    <w:rsid w:val="00F51B2D"/>
    <w:rsid w:val="00F52D60"/>
    <w:rsid w:val="00F55E73"/>
    <w:rsid w:val="00F57147"/>
    <w:rsid w:val="00F67C67"/>
    <w:rsid w:val="00F71133"/>
    <w:rsid w:val="00F77887"/>
    <w:rsid w:val="00F8681A"/>
    <w:rsid w:val="00F877D4"/>
    <w:rsid w:val="00F913A0"/>
    <w:rsid w:val="00F925F5"/>
    <w:rsid w:val="00F92E9B"/>
    <w:rsid w:val="00FB4B56"/>
    <w:rsid w:val="00FC01E4"/>
    <w:rsid w:val="00FC719C"/>
    <w:rsid w:val="00FE7661"/>
    <w:rsid w:val="00FE76DA"/>
    <w:rsid w:val="00FF153F"/>
    <w:rsid w:val="00FF2B9D"/>
    <w:rsid w:val="00FF56E3"/>
    <w:rsid w:val="00FF5DD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904260D"/>
  <w15:docId w15:val="{936475B7-F3CC-411B-8E74-F9BED00A8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038"/>
    <w:pPr>
      <w:overflowPunct w:val="0"/>
      <w:autoSpaceDE w:val="0"/>
      <w:autoSpaceDN w:val="0"/>
      <w:adjustRightInd w:val="0"/>
      <w:textAlignment w:val="baseline"/>
    </w:pPr>
    <w:rPr>
      <w:rFonts w:ascii="Verdana" w:hAnsi="Verdana"/>
      <w:color w:val="FFFFFF"/>
      <w:sz w:val="24"/>
      <w:szCs w:val="24"/>
      <w:lang w:eastAsia="es-CO"/>
    </w:rPr>
  </w:style>
  <w:style w:type="paragraph" w:styleId="Ttulo1">
    <w:name w:val="heading 1"/>
    <w:basedOn w:val="Normal"/>
    <w:next w:val="Normal"/>
    <w:link w:val="Ttulo1Car"/>
    <w:qFormat/>
    <w:rsid w:val="00F877D4"/>
    <w:pPr>
      <w:keepNext/>
      <w:spacing w:before="240" w:after="60"/>
      <w:outlineLvl w:val="0"/>
    </w:pPr>
    <w:rPr>
      <w:rFonts w:cs="Arial"/>
      <w:b/>
      <w:bCs/>
      <w:kern w:val="32"/>
      <w:sz w:val="32"/>
      <w:szCs w:val="32"/>
    </w:rPr>
  </w:style>
  <w:style w:type="paragraph" w:styleId="Ttulo2">
    <w:name w:val="heading 2"/>
    <w:basedOn w:val="Normal"/>
    <w:next w:val="Normal"/>
    <w:link w:val="Ttulo2Car"/>
    <w:qFormat/>
    <w:rsid w:val="00F877D4"/>
    <w:pPr>
      <w:keepNext/>
      <w:jc w:val="both"/>
      <w:outlineLvl w:val="1"/>
    </w:pPr>
    <w:rPr>
      <w:sz w:val="28"/>
      <w:szCs w:val="28"/>
      <w:lang w:val="af-ZA"/>
    </w:rPr>
  </w:style>
  <w:style w:type="paragraph" w:styleId="Ttulo3">
    <w:name w:val="heading 3"/>
    <w:basedOn w:val="Normal"/>
    <w:next w:val="Normal"/>
    <w:qFormat/>
    <w:rsid w:val="00F877D4"/>
    <w:pPr>
      <w:keepNext/>
      <w:spacing w:before="240" w:after="60"/>
      <w:outlineLvl w:val="2"/>
    </w:pPr>
    <w:rPr>
      <w:rFonts w:cs="Arial"/>
      <w:sz w:val="26"/>
      <w:szCs w:val="26"/>
    </w:rPr>
  </w:style>
  <w:style w:type="paragraph" w:styleId="Ttulo4">
    <w:name w:val="heading 4"/>
    <w:basedOn w:val="Normal"/>
    <w:next w:val="Normal"/>
    <w:qFormat/>
    <w:rsid w:val="00F877D4"/>
    <w:pPr>
      <w:keepNext/>
      <w:spacing w:before="240" w:after="60"/>
      <w:outlineLvl w:val="3"/>
    </w:pPr>
    <w:rPr>
      <w:sz w:val="28"/>
      <w:szCs w:val="28"/>
    </w:rPr>
  </w:style>
  <w:style w:type="paragraph" w:styleId="Ttulo5">
    <w:name w:val="heading 5"/>
    <w:basedOn w:val="Normal"/>
    <w:next w:val="Normal"/>
    <w:qFormat/>
    <w:rsid w:val="00F877D4"/>
    <w:pPr>
      <w:spacing w:before="240" w:after="60"/>
      <w:outlineLvl w:val="4"/>
    </w:pPr>
    <w:rPr>
      <w:sz w:val="26"/>
      <w:szCs w:val="26"/>
    </w:rPr>
  </w:style>
  <w:style w:type="paragraph" w:styleId="Ttulo6">
    <w:name w:val="heading 6"/>
    <w:basedOn w:val="Normal"/>
    <w:next w:val="Normal"/>
    <w:qFormat/>
    <w:rsid w:val="00F877D4"/>
    <w:pPr>
      <w:spacing w:before="240" w:after="60"/>
      <w:outlineLvl w:val="5"/>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25AAB"/>
    <w:pPr>
      <w:tabs>
        <w:tab w:val="center" w:pos="4252"/>
        <w:tab w:val="right" w:pos="8504"/>
      </w:tabs>
    </w:pPr>
  </w:style>
  <w:style w:type="paragraph" w:styleId="Piedepgina">
    <w:name w:val="footer"/>
    <w:basedOn w:val="Normal"/>
    <w:link w:val="PiedepginaCar"/>
    <w:rsid w:val="00525AAB"/>
    <w:pPr>
      <w:tabs>
        <w:tab w:val="center" w:pos="4252"/>
        <w:tab w:val="right" w:pos="8504"/>
      </w:tabs>
    </w:pPr>
  </w:style>
  <w:style w:type="paragraph" w:styleId="Textonotapie">
    <w:name w:val="footnote text"/>
    <w:basedOn w:val="Normal"/>
    <w:semiHidden/>
    <w:rsid w:val="00525AAB"/>
  </w:style>
  <w:style w:type="character" w:styleId="Refdenotaalpie">
    <w:name w:val="footnote reference"/>
    <w:semiHidden/>
    <w:rsid w:val="00525AAB"/>
    <w:rPr>
      <w:vertAlign w:val="superscript"/>
    </w:rPr>
  </w:style>
  <w:style w:type="character" w:styleId="Nmerodepgina">
    <w:name w:val="page number"/>
    <w:basedOn w:val="Fuentedeprrafopredeter"/>
    <w:rsid w:val="00525AAB"/>
  </w:style>
  <w:style w:type="table" w:styleId="Tablacontema">
    <w:name w:val="Table Theme"/>
    <w:basedOn w:val="Tablanormal"/>
    <w:rsid w:val="00F877D4"/>
    <w:pPr>
      <w:overflowPunct w:val="0"/>
      <w:autoSpaceDE w:val="0"/>
      <w:autoSpaceDN w:val="0"/>
      <w:adjustRightInd w:val="0"/>
      <w:textAlignment w:val="baseline"/>
    </w:p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character" w:styleId="Hipervnculo">
    <w:name w:val="Hyperlink"/>
    <w:rsid w:val="00F877D4"/>
    <w:rPr>
      <w:color w:val="C9BB60"/>
      <w:u w:val="single"/>
    </w:rPr>
  </w:style>
  <w:style w:type="character" w:styleId="Hipervnculovisitado">
    <w:name w:val="FollowedHyperlink"/>
    <w:rsid w:val="00F877D4"/>
    <w:rPr>
      <w:color w:val="AD9468"/>
      <w:u w:val="single"/>
    </w:rPr>
  </w:style>
  <w:style w:type="paragraph" w:customStyle="1" w:styleId="Textodecuerpo">
    <w:name w:val="Texto de cuerpo"/>
    <w:basedOn w:val="Normal"/>
    <w:link w:val="TextodecuerpoCar"/>
    <w:rsid w:val="00D222BC"/>
    <w:pPr>
      <w:overflowPunct/>
      <w:autoSpaceDE/>
      <w:autoSpaceDN/>
      <w:adjustRightInd/>
      <w:jc w:val="both"/>
      <w:textAlignment w:val="auto"/>
    </w:pPr>
    <w:rPr>
      <w:rFonts w:ascii="Tahoma" w:hAnsi="Tahoma"/>
      <w:color w:val="auto"/>
      <w:lang w:val="es-MX" w:eastAsia="es-ES"/>
    </w:rPr>
  </w:style>
  <w:style w:type="paragraph" w:styleId="Prrafodelista">
    <w:name w:val="List Paragraph"/>
    <w:basedOn w:val="Normal"/>
    <w:link w:val="PrrafodelistaCar"/>
    <w:uiPriority w:val="34"/>
    <w:qFormat/>
    <w:rsid w:val="003E1747"/>
    <w:pPr>
      <w:overflowPunct/>
      <w:autoSpaceDE/>
      <w:autoSpaceDN/>
      <w:adjustRightInd/>
      <w:ind w:left="708"/>
      <w:textAlignment w:val="auto"/>
    </w:pPr>
    <w:rPr>
      <w:rFonts w:ascii="Times New Roman" w:hAnsi="Times New Roman"/>
      <w:color w:val="auto"/>
      <w:lang w:val="es-CO" w:eastAsia="en-US"/>
    </w:rPr>
  </w:style>
  <w:style w:type="character" w:customStyle="1" w:styleId="Ttulo2Car">
    <w:name w:val="Título 2 Car"/>
    <w:link w:val="Ttulo2"/>
    <w:rsid w:val="003E1747"/>
    <w:rPr>
      <w:rFonts w:ascii="Verdana" w:hAnsi="Verdana"/>
      <w:color w:val="FFFFFF"/>
      <w:sz w:val="28"/>
      <w:szCs w:val="28"/>
      <w:lang w:val="af-ZA"/>
    </w:rPr>
  </w:style>
  <w:style w:type="table" w:styleId="Tablaconcuadrcula">
    <w:name w:val="Table Grid"/>
    <w:basedOn w:val="Tablanormal"/>
    <w:uiPriority w:val="59"/>
    <w:rsid w:val="008359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A6492D"/>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2210AA"/>
    <w:rPr>
      <w:sz w:val="16"/>
      <w:szCs w:val="16"/>
    </w:rPr>
  </w:style>
  <w:style w:type="paragraph" w:styleId="Textocomentario">
    <w:name w:val="annotation text"/>
    <w:basedOn w:val="Normal"/>
    <w:link w:val="TextocomentarioCar"/>
    <w:rsid w:val="002210AA"/>
    <w:rPr>
      <w:sz w:val="20"/>
      <w:szCs w:val="20"/>
    </w:rPr>
  </w:style>
  <w:style w:type="character" w:customStyle="1" w:styleId="TextocomentarioCar">
    <w:name w:val="Texto comentario Car"/>
    <w:link w:val="Textocomentario"/>
    <w:rsid w:val="002210AA"/>
    <w:rPr>
      <w:rFonts w:ascii="Verdana" w:hAnsi="Verdana"/>
      <w:color w:val="FFFFFF"/>
      <w:lang w:val="es-ES"/>
    </w:rPr>
  </w:style>
  <w:style w:type="paragraph" w:styleId="Asuntodelcomentario">
    <w:name w:val="annotation subject"/>
    <w:basedOn w:val="Textocomentario"/>
    <w:next w:val="Textocomentario"/>
    <w:link w:val="AsuntodelcomentarioCar"/>
    <w:rsid w:val="002210AA"/>
    <w:rPr>
      <w:b/>
      <w:bCs/>
    </w:rPr>
  </w:style>
  <w:style w:type="character" w:customStyle="1" w:styleId="AsuntodelcomentarioCar">
    <w:name w:val="Asunto del comentario Car"/>
    <w:link w:val="Asuntodelcomentario"/>
    <w:rsid w:val="002210AA"/>
    <w:rPr>
      <w:rFonts w:ascii="Verdana" w:hAnsi="Verdana"/>
      <w:b/>
      <w:bCs/>
      <w:color w:val="FFFFFF"/>
      <w:lang w:val="es-ES"/>
    </w:rPr>
  </w:style>
  <w:style w:type="paragraph" w:styleId="Textodeglobo">
    <w:name w:val="Balloon Text"/>
    <w:basedOn w:val="Normal"/>
    <w:link w:val="TextodegloboCar"/>
    <w:rsid w:val="002210AA"/>
    <w:rPr>
      <w:rFonts w:ascii="Segoe UI" w:hAnsi="Segoe UI" w:cs="Segoe UI"/>
      <w:sz w:val="18"/>
      <w:szCs w:val="18"/>
    </w:rPr>
  </w:style>
  <w:style w:type="character" w:customStyle="1" w:styleId="TextodegloboCar">
    <w:name w:val="Texto de globo Car"/>
    <w:link w:val="Textodeglobo"/>
    <w:rsid w:val="002210AA"/>
    <w:rPr>
      <w:rFonts w:ascii="Segoe UI" w:hAnsi="Segoe UI" w:cs="Segoe UI"/>
      <w:color w:val="FFFFFF"/>
      <w:sz w:val="18"/>
      <w:szCs w:val="18"/>
      <w:lang w:val="es-ES"/>
    </w:rPr>
  </w:style>
  <w:style w:type="character" w:customStyle="1" w:styleId="EncabezadoCar">
    <w:name w:val="Encabezado Car"/>
    <w:link w:val="Encabezado"/>
    <w:rsid w:val="000E3EDD"/>
    <w:rPr>
      <w:rFonts w:ascii="Verdana" w:hAnsi="Verdana"/>
      <w:color w:val="FFFFFF"/>
      <w:sz w:val="24"/>
      <w:szCs w:val="24"/>
      <w:lang w:eastAsia="es-CO"/>
    </w:rPr>
  </w:style>
  <w:style w:type="character" w:customStyle="1" w:styleId="TextodecuerpoCar">
    <w:name w:val="Texto de cuerpo Car"/>
    <w:link w:val="Textodecuerpo"/>
    <w:rsid w:val="000E3EDD"/>
    <w:rPr>
      <w:rFonts w:ascii="Tahoma" w:hAnsi="Tahoma"/>
      <w:sz w:val="24"/>
      <w:szCs w:val="24"/>
      <w:lang w:val="es-MX"/>
    </w:rPr>
  </w:style>
  <w:style w:type="character" w:customStyle="1" w:styleId="PiedepginaCar">
    <w:name w:val="Pie de página Car"/>
    <w:link w:val="Piedepgina"/>
    <w:uiPriority w:val="99"/>
    <w:rsid w:val="000E3EDD"/>
    <w:rPr>
      <w:rFonts w:ascii="Verdana" w:hAnsi="Verdana"/>
      <w:color w:val="FFFFFF"/>
      <w:sz w:val="24"/>
      <w:szCs w:val="24"/>
      <w:lang w:eastAsia="es-CO"/>
    </w:rPr>
  </w:style>
  <w:style w:type="paragraph" w:styleId="Textoindependiente">
    <w:name w:val="Body Text"/>
    <w:basedOn w:val="Normal"/>
    <w:link w:val="TextoindependienteCar"/>
    <w:rsid w:val="00840B08"/>
    <w:pPr>
      <w:overflowPunct/>
      <w:autoSpaceDE/>
      <w:autoSpaceDN/>
      <w:adjustRightInd/>
      <w:jc w:val="both"/>
      <w:textAlignment w:val="auto"/>
    </w:pPr>
    <w:rPr>
      <w:rFonts w:ascii="Bookman Old Style" w:hAnsi="Bookman Old Style" w:cs="Arial"/>
      <w:color w:val="auto"/>
      <w:lang w:eastAsia="zh-CN"/>
    </w:rPr>
  </w:style>
  <w:style w:type="character" w:customStyle="1" w:styleId="TextoindependienteCar">
    <w:name w:val="Texto independiente Car"/>
    <w:basedOn w:val="Fuentedeprrafopredeter"/>
    <w:link w:val="Textoindependiente"/>
    <w:rsid w:val="00840B08"/>
    <w:rPr>
      <w:rFonts w:ascii="Bookman Old Style" w:hAnsi="Bookman Old Style" w:cs="Arial"/>
      <w:sz w:val="24"/>
      <w:szCs w:val="24"/>
      <w:lang w:val="es-ES" w:eastAsia="zh-CN"/>
    </w:rPr>
  </w:style>
  <w:style w:type="paragraph" w:customStyle="1" w:styleId="Default">
    <w:name w:val="Default"/>
    <w:rsid w:val="005C6F6C"/>
    <w:pPr>
      <w:autoSpaceDE w:val="0"/>
      <w:autoSpaceDN w:val="0"/>
      <w:adjustRightInd w:val="0"/>
    </w:pPr>
    <w:rPr>
      <w:rFonts w:ascii="Arial" w:eastAsiaTheme="minorHAnsi" w:hAnsi="Arial" w:cs="Arial"/>
      <w:color w:val="000000"/>
      <w:sz w:val="24"/>
      <w:szCs w:val="24"/>
      <w:lang w:val="es-CO" w:eastAsia="en-US"/>
    </w:rPr>
  </w:style>
  <w:style w:type="character" w:customStyle="1" w:styleId="xsize">
    <w:name w:val="x_size"/>
    <w:basedOn w:val="Fuentedeprrafopredeter"/>
    <w:rsid w:val="00A0427C"/>
  </w:style>
  <w:style w:type="paragraph" w:styleId="Sinespaciado">
    <w:name w:val="No Spacing"/>
    <w:uiPriority w:val="1"/>
    <w:qFormat/>
    <w:rsid w:val="00A0427C"/>
    <w:rPr>
      <w:rFonts w:asciiTheme="minorHAnsi" w:eastAsiaTheme="minorHAnsi" w:hAnsiTheme="minorHAnsi" w:cstheme="minorBidi"/>
      <w:sz w:val="22"/>
      <w:szCs w:val="22"/>
      <w:lang w:val="es-CO" w:eastAsia="en-US"/>
    </w:rPr>
  </w:style>
  <w:style w:type="paragraph" w:styleId="NormalWeb">
    <w:name w:val="Normal (Web)"/>
    <w:basedOn w:val="Normal"/>
    <w:uiPriority w:val="99"/>
    <w:unhideWhenUsed/>
    <w:rsid w:val="001E69F8"/>
    <w:pPr>
      <w:overflowPunct/>
      <w:autoSpaceDE/>
      <w:autoSpaceDN/>
      <w:adjustRightInd/>
      <w:spacing w:before="100" w:beforeAutospacing="1" w:after="100" w:afterAutospacing="1"/>
      <w:textAlignment w:val="auto"/>
    </w:pPr>
    <w:rPr>
      <w:rFonts w:ascii="Times New Roman" w:hAnsi="Times New Roman"/>
      <w:color w:val="auto"/>
      <w:lang w:val="es-ES" w:eastAsia="es-ES"/>
    </w:rPr>
  </w:style>
  <w:style w:type="paragraph" w:customStyle="1" w:styleId="Textoindependiente33">
    <w:name w:val="Texto independiente 33"/>
    <w:basedOn w:val="Normal"/>
    <w:rsid w:val="004D06DE"/>
    <w:pPr>
      <w:tabs>
        <w:tab w:val="left" w:pos="360"/>
      </w:tabs>
      <w:overflowPunct/>
      <w:autoSpaceDE/>
      <w:autoSpaceDN/>
      <w:adjustRightInd/>
      <w:jc w:val="both"/>
      <w:textAlignment w:val="auto"/>
    </w:pPr>
    <w:rPr>
      <w:rFonts w:ascii="Arial" w:hAnsi="Arial"/>
      <w:color w:val="auto"/>
      <w:szCs w:val="20"/>
      <w:lang w:val="es-ES" w:eastAsia="es-ES"/>
    </w:rPr>
  </w:style>
  <w:style w:type="character" w:styleId="Textoennegrita">
    <w:name w:val="Strong"/>
    <w:uiPriority w:val="22"/>
    <w:qFormat/>
    <w:rsid w:val="004D06DE"/>
    <w:rPr>
      <w:b/>
      <w:bCs/>
    </w:rPr>
  </w:style>
  <w:style w:type="character" w:customStyle="1" w:styleId="Ttulo1Car">
    <w:name w:val="Título 1 Car"/>
    <w:basedOn w:val="Fuentedeprrafopredeter"/>
    <w:link w:val="Ttulo1"/>
    <w:rsid w:val="00BC6F99"/>
    <w:rPr>
      <w:rFonts w:ascii="Verdana" w:hAnsi="Verdana" w:cs="Arial"/>
      <w:b/>
      <w:bCs/>
      <w:color w:val="FFFFFF"/>
      <w:kern w:val="32"/>
      <w:sz w:val="32"/>
      <w:szCs w:val="32"/>
      <w:lang w:eastAsia="es-CO"/>
    </w:rPr>
  </w:style>
  <w:style w:type="character" w:customStyle="1" w:styleId="PrrafodelistaCar">
    <w:name w:val="Párrafo de lista Car"/>
    <w:link w:val="Prrafodelista"/>
    <w:uiPriority w:val="34"/>
    <w:locked/>
    <w:rsid w:val="007B2E58"/>
    <w:rPr>
      <w:sz w:val="24"/>
      <w:szCs w:val="24"/>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659489">
      <w:bodyDiv w:val="1"/>
      <w:marLeft w:val="0"/>
      <w:marRight w:val="0"/>
      <w:marTop w:val="0"/>
      <w:marBottom w:val="0"/>
      <w:divBdr>
        <w:top w:val="none" w:sz="0" w:space="0" w:color="auto"/>
        <w:left w:val="none" w:sz="0" w:space="0" w:color="auto"/>
        <w:bottom w:val="none" w:sz="0" w:space="0" w:color="auto"/>
        <w:right w:val="none" w:sz="0" w:space="0" w:color="auto"/>
      </w:divBdr>
    </w:div>
    <w:div w:id="954168447">
      <w:bodyDiv w:val="1"/>
      <w:marLeft w:val="0"/>
      <w:marRight w:val="0"/>
      <w:marTop w:val="0"/>
      <w:marBottom w:val="0"/>
      <w:divBdr>
        <w:top w:val="none" w:sz="0" w:space="0" w:color="auto"/>
        <w:left w:val="none" w:sz="0" w:space="0" w:color="auto"/>
        <w:bottom w:val="none" w:sz="0" w:space="0" w:color="auto"/>
        <w:right w:val="none" w:sz="0" w:space="0" w:color="auto"/>
      </w:divBdr>
    </w:div>
    <w:div w:id="1120028660">
      <w:bodyDiv w:val="1"/>
      <w:marLeft w:val="0"/>
      <w:marRight w:val="0"/>
      <w:marTop w:val="0"/>
      <w:marBottom w:val="0"/>
      <w:divBdr>
        <w:top w:val="none" w:sz="0" w:space="0" w:color="auto"/>
        <w:left w:val="none" w:sz="0" w:space="0" w:color="auto"/>
        <w:bottom w:val="none" w:sz="0" w:space="0" w:color="auto"/>
        <w:right w:val="none" w:sz="0" w:space="0" w:color="auto"/>
      </w:divBdr>
    </w:div>
    <w:div w:id="1475022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hrm.gov.co" TargetMode="External"/><Relationship Id="rId1" Type="http://schemas.openxmlformats.org/officeDocument/2006/relationships/hyperlink" Target="mailto:contactenos@hrm.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3970E-2BDF-43F1-875F-A5FB2FB43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8</Pages>
  <Words>3348</Words>
  <Characters>18418</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1</vt:lpstr>
    </vt:vector>
  </TitlesOfParts>
  <Company>Hewlett-Packard</Company>
  <LinksUpToDate>false</LinksUpToDate>
  <CharactersWithSpaces>21723</CharactersWithSpaces>
  <SharedDoc>false</SharedDoc>
  <HLinks>
    <vt:vector size="18" baseType="variant">
      <vt:variant>
        <vt:i4>1638482</vt:i4>
      </vt:variant>
      <vt:variant>
        <vt:i4>12</vt:i4>
      </vt:variant>
      <vt:variant>
        <vt:i4>0</vt:i4>
      </vt:variant>
      <vt:variant>
        <vt:i4>5</vt:i4>
      </vt:variant>
      <vt:variant>
        <vt:lpwstr>mailto:soraeshora1619@gmail.com</vt:lpwstr>
      </vt:variant>
      <vt:variant>
        <vt:lpwstr/>
      </vt:variant>
      <vt:variant>
        <vt:i4>2818103</vt:i4>
      </vt:variant>
      <vt:variant>
        <vt:i4>9</vt:i4>
      </vt:variant>
      <vt:variant>
        <vt:i4>0</vt:i4>
      </vt:variant>
      <vt:variant>
        <vt:i4>5</vt:i4>
      </vt:variant>
      <vt:variant>
        <vt:lpwstr>mailto:alcald%C3%ADa@sora-boyaca.gov.co</vt:lpwstr>
      </vt:variant>
      <vt:variant>
        <vt:lpwstr/>
      </vt:variant>
      <vt:variant>
        <vt:i4>3473446</vt:i4>
      </vt:variant>
      <vt:variant>
        <vt:i4>6</vt:i4>
      </vt:variant>
      <vt:variant>
        <vt:i4>0</vt:i4>
      </vt:variant>
      <vt:variant>
        <vt:i4>5</vt:i4>
      </vt:variant>
      <vt:variant>
        <vt:lpwstr>http://www.sora-boyaca.gov.co/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CLAUDIA MARCELA</dc:creator>
  <cp:lastModifiedBy>USUARIO</cp:lastModifiedBy>
  <cp:revision>22</cp:revision>
  <cp:lastPrinted>2019-10-10T16:26:00Z</cp:lastPrinted>
  <dcterms:created xsi:type="dcterms:W3CDTF">2021-07-15T15:22:00Z</dcterms:created>
  <dcterms:modified xsi:type="dcterms:W3CDTF">2022-05-27T23:11:00Z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BlueCalm 011</vt:lpwstr>
  </property>
</Properties>
</file>