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FBAB" w14:textId="77777777" w:rsidR="00C27530" w:rsidRDefault="00C27530" w:rsidP="00036FDB">
      <w:pPr>
        <w:jc w:val="both"/>
        <w:rPr>
          <w:rFonts w:ascii="Calibri Light" w:hAnsi="Calibri Light" w:cs="Calibri Light"/>
          <w:b/>
          <w:sz w:val="22"/>
          <w:szCs w:val="22"/>
          <w:lang w:val="es-AR"/>
        </w:rPr>
      </w:pPr>
    </w:p>
    <w:p w14:paraId="60919CE5" w14:textId="77777777" w:rsidR="00C40650" w:rsidRPr="00A960D3" w:rsidRDefault="00CF3FC2" w:rsidP="00036FDB">
      <w:pPr>
        <w:jc w:val="both"/>
        <w:rPr>
          <w:rFonts w:ascii="Calibri Light" w:hAnsi="Calibri Light" w:cs="Calibri Light"/>
          <w:b/>
          <w:sz w:val="22"/>
          <w:szCs w:val="22"/>
          <w:lang w:val="es-AR"/>
        </w:rPr>
      </w:pPr>
      <w:r w:rsidRPr="00A960D3">
        <w:rPr>
          <w:rFonts w:ascii="Calibri Light" w:hAnsi="Calibri Light" w:cs="Calibri Light"/>
          <w:b/>
          <w:sz w:val="22"/>
          <w:szCs w:val="22"/>
          <w:lang w:val="es-AR"/>
        </w:rPr>
        <w:t xml:space="preserve"> </w:t>
      </w:r>
    </w:p>
    <w:p w14:paraId="4D3CEBDC" w14:textId="77777777" w:rsidR="00036FDB" w:rsidRPr="00A960D3" w:rsidRDefault="0057782E" w:rsidP="00036FDB">
      <w:pPr>
        <w:jc w:val="both"/>
        <w:rPr>
          <w:rFonts w:ascii="Calibri Light" w:hAnsi="Calibri Light" w:cs="Calibri Light"/>
          <w:b/>
          <w:sz w:val="22"/>
          <w:szCs w:val="22"/>
          <w:lang w:val="es-AR"/>
        </w:rPr>
      </w:pPr>
      <w:r w:rsidRPr="00A960D3">
        <w:rPr>
          <w:rFonts w:ascii="Calibri Light" w:hAnsi="Calibri Light" w:cs="Calibri Light"/>
          <w:b/>
          <w:sz w:val="22"/>
          <w:szCs w:val="22"/>
          <w:lang w:val="es-AR"/>
        </w:rPr>
        <w:t xml:space="preserve">LA JUNTA DIRECTIVA DEL HOSPITAL REGIONAL DE MONIQUIRA E.S.E. EN USO DE SUS ATRIBUCIONES LEGALES, ESTATUTARIA </w:t>
      </w:r>
      <w:r w:rsidRPr="00A960D3">
        <w:rPr>
          <w:rFonts w:ascii="Calibri Light" w:hAnsi="Calibri Light" w:cs="Calibri Light"/>
          <w:sz w:val="22"/>
          <w:szCs w:val="22"/>
          <w:lang w:val="es-AR"/>
        </w:rPr>
        <w:t xml:space="preserve">Y en especial las conferidas por el artículo 11 del </w:t>
      </w:r>
      <w:r w:rsidRPr="00A960D3">
        <w:rPr>
          <w:rFonts w:ascii="Calibri Light" w:hAnsi="Calibri Light" w:cs="Calibri Light"/>
          <w:sz w:val="22"/>
          <w:szCs w:val="22"/>
        </w:rPr>
        <w:t>Artículo 10 del Decreto 139 de 1996</w:t>
      </w:r>
      <w:r w:rsidRPr="00A960D3">
        <w:rPr>
          <w:rFonts w:ascii="Calibri Light" w:hAnsi="Calibri Light" w:cs="Calibri Light"/>
          <w:sz w:val="22"/>
          <w:szCs w:val="22"/>
          <w:lang w:val="es-AR"/>
        </w:rPr>
        <w:t xml:space="preserve"> y el artículo 19 Numeral 5 del Acuerdo 001 del 4 de </w:t>
      </w:r>
      <w:r w:rsidR="009113F9" w:rsidRPr="00A960D3">
        <w:rPr>
          <w:rFonts w:ascii="Calibri Light" w:hAnsi="Calibri Light" w:cs="Calibri Light"/>
          <w:sz w:val="22"/>
          <w:szCs w:val="22"/>
          <w:lang w:val="es-AR"/>
        </w:rPr>
        <w:t>abril</w:t>
      </w:r>
      <w:r w:rsidRPr="00A960D3">
        <w:rPr>
          <w:rFonts w:ascii="Calibri Light" w:hAnsi="Calibri Light" w:cs="Calibri Light"/>
          <w:sz w:val="22"/>
          <w:szCs w:val="22"/>
          <w:lang w:val="es-AR"/>
        </w:rPr>
        <w:t xml:space="preserve"> de 2000, por el cual se fijan los estatutos del HOSPITAL REGIONAL DE MONIQUIRA E.S.E. </w:t>
      </w:r>
      <w:r w:rsidR="009113F9" w:rsidRPr="00A960D3">
        <w:rPr>
          <w:rFonts w:ascii="Calibri Light" w:hAnsi="Calibri Light" w:cs="Calibri Light"/>
          <w:sz w:val="22"/>
          <w:szCs w:val="22"/>
          <w:lang w:val="es-AR"/>
        </w:rPr>
        <w:t>Y,</w:t>
      </w:r>
    </w:p>
    <w:p w14:paraId="35313BA0" w14:textId="77777777" w:rsidR="0085531E" w:rsidRPr="00A960D3" w:rsidRDefault="0085531E" w:rsidP="00036FDB">
      <w:pPr>
        <w:jc w:val="center"/>
        <w:rPr>
          <w:rFonts w:ascii="Calibri Light" w:hAnsi="Calibri Light" w:cs="Calibri Light"/>
          <w:b/>
          <w:sz w:val="22"/>
          <w:szCs w:val="22"/>
          <w:lang w:val="es-AR"/>
        </w:rPr>
      </w:pPr>
    </w:p>
    <w:p w14:paraId="3CC947C3" w14:textId="77777777" w:rsidR="00036FDB" w:rsidRPr="00A960D3" w:rsidRDefault="00036FDB" w:rsidP="00036FDB">
      <w:pPr>
        <w:jc w:val="center"/>
        <w:rPr>
          <w:rFonts w:ascii="Calibri Light" w:hAnsi="Calibri Light" w:cs="Calibri Light"/>
          <w:b/>
          <w:sz w:val="22"/>
          <w:szCs w:val="22"/>
          <w:lang w:val="es-AR"/>
        </w:rPr>
      </w:pPr>
      <w:r w:rsidRPr="00A960D3">
        <w:rPr>
          <w:rFonts w:ascii="Calibri Light" w:hAnsi="Calibri Light" w:cs="Calibri Light"/>
          <w:b/>
          <w:sz w:val="22"/>
          <w:szCs w:val="22"/>
          <w:lang w:val="es-AR"/>
        </w:rPr>
        <w:t xml:space="preserve"> CONSIDERANDO:</w:t>
      </w:r>
    </w:p>
    <w:p w14:paraId="10D2C721" w14:textId="77777777" w:rsidR="008B303A" w:rsidRPr="00A960D3" w:rsidRDefault="008B303A" w:rsidP="00036FDB">
      <w:pPr>
        <w:jc w:val="center"/>
        <w:rPr>
          <w:rFonts w:ascii="Calibri Light" w:hAnsi="Calibri Light" w:cs="Calibri Light"/>
          <w:b/>
          <w:sz w:val="22"/>
          <w:szCs w:val="22"/>
          <w:lang w:val="es-AR"/>
        </w:rPr>
      </w:pPr>
    </w:p>
    <w:p w14:paraId="012DF4D0" w14:textId="77777777" w:rsidR="007025B7" w:rsidRDefault="007025B7" w:rsidP="007025B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94164">
        <w:rPr>
          <w:rFonts w:ascii="Calibri" w:hAnsi="Calibri" w:cs="Calibri"/>
          <w:color w:val="000000"/>
          <w:sz w:val="22"/>
          <w:szCs w:val="22"/>
        </w:rPr>
        <w:t xml:space="preserve">Que mediante Acuerdo No. 08 del 29 de diciembre 2021 se aprobó el presupuesto de ingresos y gastos para la vigencia 2021 por un valor de </w:t>
      </w:r>
      <w:r w:rsidRPr="00294164">
        <w:rPr>
          <w:rFonts w:ascii="Calibri" w:hAnsi="Calibri" w:cs="Calibri"/>
          <w:b/>
          <w:bCs/>
          <w:sz w:val="22"/>
          <w:szCs w:val="22"/>
        </w:rPr>
        <w:t xml:space="preserve">VEINTISIETE MIL OCHOCIENTOS OCHENTA Y UN MILLONES QUINIENTOS SESENTA Y TRES MIL CIENTO SESENTA Y </w:t>
      </w:r>
      <w:r>
        <w:rPr>
          <w:rFonts w:ascii="Calibri" w:hAnsi="Calibri" w:cs="Calibri"/>
          <w:b/>
          <w:bCs/>
          <w:sz w:val="22"/>
          <w:szCs w:val="22"/>
        </w:rPr>
        <w:t>NUEVE</w:t>
      </w:r>
      <w:r w:rsidRPr="00294164">
        <w:rPr>
          <w:rFonts w:ascii="Calibri" w:hAnsi="Calibri" w:cs="Calibri"/>
          <w:b/>
          <w:bCs/>
          <w:sz w:val="22"/>
          <w:szCs w:val="22"/>
        </w:rPr>
        <w:t xml:space="preserve"> PESOS M/CTE ($27.881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94164">
        <w:rPr>
          <w:rFonts w:ascii="Calibri" w:hAnsi="Calibri" w:cs="Calibri"/>
          <w:b/>
          <w:bCs/>
          <w:sz w:val="22"/>
          <w:szCs w:val="22"/>
        </w:rPr>
        <w:t>563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94164">
        <w:rPr>
          <w:rFonts w:ascii="Calibri" w:hAnsi="Calibri" w:cs="Calibri"/>
          <w:b/>
          <w:bCs/>
          <w:sz w:val="22"/>
          <w:szCs w:val="22"/>
        </w:rPr>
        <w:t>16</w:t>
      </w:r>
      <w:r>
        <w:rPr>
          <w:rFonts w:ascii="Calibri" w:hAnsi="Calibri" w:cs="Calibri"/>
          <w:b/>
          <w:bCs/>
          <w:sz w:val="22"/>
          <w:szCs w:val="22"/>
        </w:rPr>
        <w:t>9</w:t>
      </w:r>
      <w:r w:rsidRPr="00294164">
        <w:rPr>
          <w:rFonts w:ascii="Calibri" w:hAnsi="Calibri" w:cs="Calibri"/>
          <w:b/>
          <w:bCs/>
          <w:sz w:val="22"/>
          <w:szCs w:val="22"/>
        </w:rPr>
        <w:t>) MCTE.</w:t>
      </w:r>
    </w:p>
    <w:p w14:paraId="5B158F66" w14:textId="77777777" w:rsidR="007025B7" w:rsidRPr="00544C71" w:rsidRDefault="007025B7" w:rsidP="007025B7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</w:pPr>
    </w:p>
    <w:p w14:paraId="5AEFADFE" w14:textId="6EF599E4" w:rsidR="00C37AC9" w:rsidRPr="007B11DD" w:rsidRDefault="007025B7" w:rsidP="007B11D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44095">
        <w:rPr>
          <w:rFonts w:ascii="Calibri" w:hAnsi="Calibri" w:cs="Calibri"/>
          <w:color w:val="000000" w:themeColor="text1"/>
          <w:sz w:val="22"/>
          <w:szCs w:val="22"/>
        </w:rPr>
        <w:t xml:space="preserve">Que, con base en certificación </w:t>
      </w:r>
      <w:r w:rsidRPr="00144095">
        <w:rPr>
          <w:rFonts w:ascii="Calibri" w:hAnsi="Calibri" w:cs="Calibri"/>
          <w:color w:val="000000" w:themeColor="text1"/>
          <w:sz w:val="22"/>
          <w:szCs w:val="22"/>
          <w:lang w:val="es-ES_tradnl" w:eastAsia="es-CO"/>
        </w:rPr>
        <w:t>emitida por la coordinación de cartera del Hospital Regional De Moniquirá con corte a 2</w:t>
      </w:r>
      <w:r w:rsidR="00CB3C6B" w:rsidRPr="00144095">
        <w:rPr>
          <w:rFonts w:ascii="Calibri" w:hAnsi="Calibri" w:cs="Calibri"/>
          <w:color w:val="000000" w:themeColor="text1"/>
          <w:sz w:val="22"/>
          <w:szCs w:val="22"/>
          <w:lang w:val="es-ES_tradnl" w:eastAsia="es-CO"/>
        </w:rPr>
        <w:t xml:space="preserve">5 </w:t>
      </w:r>
      <w:r w:rsidRPr="00144095">
        <w:rPr>
          <w:rFonts w:ascii="Calibri" w:hAnsi="Calibri" w:cs="Calibri"/>
          <w:color w:val="000000" w:themeColor="text1"/>
          <w:sz w:val="22"/>
          <w:szCs w:val="22"/>
          <w:lang w:val="es-ES_tradnl" w:eastAsia="es-CO"/>
        </w:rPr>
        <w:t>de mayo del año 2022, se ha realizado recaudo de vigencias anteriores por la suma de</w:t>
      </w:r>
      <w:r w:rsidRPr="00144095">
        <w:rPr>
          <w:rFonts w:ascii="Calibri" w:hAnsi="Calibri" w:cs="Calibri"/>
          <w:b/>
          <w:color w:val="000000" w:themeColor="text1"/>
          <w:sz w:val="22"/>
          <w:szCs w:val="22"/>
        </w:rPr>
        <w:t xml:space="preserve"> SEIS </w:t>
      </w:r>
      <w:r w:rsidR="00E26D65" w:rsidRPr="00144095">
        <w:rPr>
          <w:rFonts w:ascii="Calibri" w:hAnsi="Calibri" w:cs="Calibri"/>
          <w:b/>
          <w:color w:val="000000" w:themeColor="text1"/>
          <w:sz w:val="22"/>
          <w:szCs w:val="22"/>
        </w:rPr>
        <w:t xml:space="preserve">MIL </w:t>
      </w:r>
      <w:r w:rsidRPr="00144095">
        <w:rPr>
          <w:rFonts w:ascii="Calibri" w:hAnsi="Calibri" w:cs="Calibri"/>
          <w:b/>
          <w:color w:val="000000" w:themeColor="text1"/>
          <w:sz w:val="22"/>
          <w:szCs w:val="22"/>
        </w:rPr>
        <w:t>TRECIENTOS TREINTA Y CINCO MILLONES TRESCIENTOS QUINCE MIL CUATROCIENTOS TRECE PESOS MCTE ($6.335,315,413)</w:t>
      </w:r>
      <w:r w:rsidR="00F96C2A" w:rsidRPr="00144095">
        <w:rPr>
          <w:rFonts w:ascii="Calibri" w:hAnsi="Calibri" w:cs="Calibri"/>
          <w:color w:val="000000" w:themeColor="text1"/>
          <w:sz w:val="22"/>
          <w:szCs w:val="22"/>
        </w:rPr>
        <w:t>, que me</w:t>
      </w:r>
      <w:r w:rsidR="00C37AC9" w:rsidRPr="00144095">
        <w:rPr>
          <w:rFonts w:ascii="Calibri" w:hAnsi="Calibri" w:cs="Calibri"/>
          <w:color w:val="000000" w:themeColor="text1"/>
          <w:sz w:val="22"/>
          <w:szCs w:val="22"/>
        </w:rPr>
        <w:t xml:space="preserve">diante Acuerdo 001 de 2022 se adiciono la suma total de </w:t>
      </w:r>
      <w:r w:rsidR="00C37AC9" w:rsidRPr="00144095">
        <w:rPr>
          <w:rFonts w:ascii="Calibri" w:hAnsi="Calibri" w:cs="Calibri"/>
          <w:b/>
          <w:bCs/>
          <w:color w:val="000000" w:themeColor="text1"/>
          <w:sz w:val="22"/>
          <w:szCs w:val="22"/>
          <w:lang w:val="es-ES_tradnl"/>
        </w:rPr>
        <w:t>DOS MIL SETECIENTOS TREINTA Y DOS MILLONES SEISCIENTOS OCHENTA Y OCHO MIL NOVECIENTOS NOVENTA Y DOS PESOS ($</w:t>
      </w:r>
      <w:r w:rsidR="00C37AC9" w:rsidRPr="00144095">
        <w:rPr>
          <w:rFonts w:ascii="Calibri" w:hAnsi="Calibri" w:cs="Calibri"/>
          <w:b/>
          <w:bCs/>
          <w:color w:val="000000" w:themeColor="text1"/>
          <w:sz w:val="22"/>
          <w:szCs w:val="22"/>
          <w:lang w:val="es-CO" w:eastAsia="es-CO"/>
        </w:rPr>
        <w:t>2.732,688,992</w:t>
      </w:r>
      <w:r w:rsidR="00C37AC9" w:rsidRPr="00144095">
        <w:rPr>
          <w:rFonts w:ascii="Calibri" w:hAnsi="Calibri" w:cs="Calibri"/>
          <w:b/>
          <w:bCs/>
          <w:color w:val="000000" w:themeColor="text1"/>
          <w:sz w:val="22"/>
          <w:szCs w:val="22"/>
          <w:lang w:val="es-ES_tradnl"/>
        </w:rPr>
        <w:t>) MCTE</w:t>
      </w:r>
      <w:r w:rsidR="00C37AC9" w:rsidRPr="00144095">
        <w:rPr>
          <w:rFonts w:ascii="Calibri" w:hAnsi="Calibri" w:cs="Calibri"/>
          <w:color w:val="000000" w:themeColor="text1"/>
          <w:sz w:val="22"/>
          <w:szCs w:val="22"/>
          <w:lang w:val="es-ES_tradnl"/>
        </w:rPr>
        <w:t xml:space="preserve">, </w:t>
      </w:r>
      <w:r w:rsidR="00E26D65" w:rsidRPr="00144095">
        <w:rPr>
          <w:rFonts w:ascii="Calibri" w:hAnsi="Calibri" w:cs="Calibri"/>
          <w:color w:val="000000" w:themeColor="text1"/>
          <w:sz w:val="22"/>
          <w:szCs w:val="22"/>
          <w:lang w:val="es-ES_tradnl"/>
        </w:rPr>
        <w:t>P</w:t>
      </w:r>
      <w:r w:rsidR="00360B5A" w:rsidRPr="00144095">
        <w:rPr>
          <w:rFonts w:ascii="Calibri" w:hAnsi="Calibri" w:cs="Calibri"/>
          <w:color w:val="000000" w:themeColor="text1"/>
          <w:sz w:val="22"/>
          <w:szCs w:val="22"/>
          <w:lang w:val="es-ES_tradnl"/>
        </w:rPr>
        <w:t xml:space="preserve">roducto de </w:t>
      </w:r>
      <w:r w:rsidR="00360B5A" w:rsidRPr="00144095">
        <w:rPr>
          <w:rFonts w:ascii="Calibri" w:hAnsi="Calibri" w:cs="Calibri"/>
          <w:b/>
          <w:bCs/>
          <w:color w:val="000000" w:themeColor="text1"/>
          <w:sz w:val="22"/>
          <w:szCs w:val="22"/>
          <w:lang w:val="es-ES_tradnl" w:eastAsia="es-CO"/>
        </w:rPr>
        <w:t>DISPONIBILIDAD INICIAL</w:t>
      </w:r>
      <w:r w:rsidR="00360B5A" w:rsidRPr="00144095">
        <w:rPr>
          <w:rFonts w:ascii="Calibri" w:hAnsi="Calibri" w:cs="Calibri"/>
          <w:color w:val="000000" w:themeColor="text1"/>
          <w:sz w:val="22"/>
          <w:szCs w:val="22"/>
          <w:lang w:val="es-ES_tradnl" w:eastAsia="es-CO"/>
        </w:rPr>
        <w:t xml:space="preserve"> por valor total de </w:t>
      </w:r>
      <w:r w:rsidR="00360B5A" w:rsidRPr="00144095">
        <w:rPr>
          <w:rFonts w:ascii="Calibri" w:hAnsi="Calibri" w:cs="Calibri"/>
          <w:b/>
          <w:bCs/>
          <w:color w:val="000000" w:themeColor="text1"/>
          <w:sz w:val="22"/>
          <w:szCs w:val="22"/>
          <w:lang w:val="es-ES_tradnl" w:eastAsia="es-CO"/>
        </w:rPr>
        <w:t xml:space="preserve">TRESCIENTOS UN MILLONES NOVECIENTOS TRES MIL NOVECIENTOS NOVENTA Y NUEVE PESOS </w:t>
      </w:r>
      <w:r w:rsidR="00E26D65" w:rsidRPr="00144095">
        <w:rPr>
          <w:rFonts w:ascii="Calibri" w:hAnsi="Calibri" w:cs="Calibri"/>
          <w:b/>
          <w:bCs/>
          <w:color w:val="000000" w:themeColor="text1"/>
          <w:sz w:val="22"/>
          <w:szCs w:val="22"/>
          <w:lang w:val="es-ES_tradnl" w:eastAsia="es-CO"/>
        </w:rPr>
        <w:t xml:space="preserve"> MCTE </w:t>
      </w:r>
      <w:r w:rsidR="00360B5A" w:rsidRPr="00144095">
        <w:rPr>
          <w:rFonts w:ascii="Calibri" w:hAnsi="Calibri" w:cs="Calibri"/>
          <w:b/>
          <w:bCs/>
          <w:color w:val="000000" w:themeColor="text1"/>
          <w:sz w:val="22"/>
          <w:szCs w:val="22"/>
          <w:lang w:val="es-ES_tradnl" w:eastAsia="es-CO"/>
        </w:rPr>
        <w:t>($</w:t>
      </w:r>
      <w:r w:rsidR="00360B5A" w:rsidRPr="00144095">
        <w:rPr>
          <w:rFonts w:ascii="Calibri" w:eastAsia="Arial Unicode MS" w:hAnsi="Calibri" w:cs="Calibri"/>
          <w:b/>
          <w:bCs/>
          <w:color w:val="000000" w:themeColor="text1"/>
          <w:sz w:val="22"/>
          <w:szCs w:val="22"/>
          <w:lang w:val="es-CO" w:eastAsia="es-CO"/>
        </w:rPr>
        <w:t>301,903,999</w:t>
      </w:r>
      <w:r w:rsidR="00C37AC9" w:rsidRPr="00144095">
        <w:rPr>
          <w:rFonts w:ascii="Calibri" w:eastAsia="Arial Unicode MS" w:hAnsi="Calibri" w:cs="Calibri"/>
          <w:b/>
          <w:bCs/>
          <w:color w:val="000000" w:themeColor="text1"/>
          <w:sz w:val="22"/>
          <w:szCs w:val="22"/>
          <w:lang w:val="es-CO" w:eastAsia="es-CO"/>
        </w:rPr>
        <w:t>)</w:t>
      </w:r>
      <w:r w:rsidR="007B11DD">
        <w:rPr>
          <w:rFonts w:ascii="Calibri" w:eastAsia="Arial Unicode MS" w:hAnsi="Calibri" w:cs="Calibri"/>
          <w:b/>
          <w:bCs/>
          <w:color w:val="000000" w:themeColor="text1"/>
          <w:sz w:val="22"/>
          <w:szCs w:val="22"/>
          <w:lang w:val="es-CO" w:eastAsia="es-CO"/>
        </w:rPr>
        <w:t xml:space="preserve"> </w:t>
      </w:r>
      <w:r w:rsidR="007B11DD" w:rsidRPr="007B11DD">
        <w:rPr>
          <w:rFonts w:ascii="Calibri" w:eastAsia="Arial Unicode MS" w:hAnsi="Calibri" w:cs="Calibri"/>
          <w:color w:val="000000" w:themeColor="text1"/>
          <w:sz w:val="22"/>
          <w:szCs w:val="22"/>
          <w:lang w:val="es-CO" w:eastAsia="es-CO"/>
        </w:rPr>
        <w:t xml:space="preserve">y </w:t>
      </w:r>
      <w:r w:rsidR="007B11DD" w:rsidRPr="007B11DD">
        <w:rPr>
          <w:rFonts w:ascii="Calibri" w:hAnsi="Calibri" w:cs="Calibri"/>
          <w:color w:val="000000"/>
          <w:sz w:val="22"/>
          <w:szCs w:val="22"/>
          <w:lang w:val="es-ES_tradnl" w:eastAsia="es-CO"/>
        </w:rPr>
        <w:t>recaudo de vigencias anteriores</w:t>
      </w:r>
      <w:r w:rsidR="007B11DD" w:rsidRPr="00544C71"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 xml:space="preserve"> </w:t>
      </w:r>
      <w:r w:rsidR="007B11DD" w:rsidRPr="00544C71">
        <w:rPr>
          <w:rFonts w:ascii="Calibri" w:hAnsi="Calibri" w:cs="Calibri"/>
          <w:color w:val="000000"/>
          <w:sz w:val="22"/>
          <w:szCs w:val="22"/>
          <w:lang w:val="es-ES_tradnl" w:eastAsia="es-CO"/>
        </w:rPr>
        <w:t>por la suma de</w:t>
      </w:r>
      <w:r w:rsidR="007B11DD" w:rsidRPr="00544C71">
        <w:rPr>
          <w:rFonts w:ascii="Calibri" w:hAnsi="Calibri" w:cs="Calibri"/>
          <w:b/>
          <w:color w:val="000000"/>
          <w:sz w:val="22"/>
          <w:szCs w:val="22"/>
        </w:rPr>
        <w:t xml:space="preserve"> DOS MIL CUATROCIENTOS TREINTA MILLONES SETECIENTOS OCHENTA Y CUATRO MIL NOVECIENTOS NOVENTA Y TRES PESOS ($2.430,784,993) </w:t>
      </w:r>
      <w:r w:rsidR="007B11DD" w:rsidRPr="00544C71"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>MCTE</w:t>
      </w:r>
      <w:r w:rsidR="007B11D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F96C2A" w:rsidRPr="00144095">
        <w:rPr>
          <w:rFonts w:ascii="Calibri" w:eastAsia="Arial Unicode MS" w:hAnsi="Calibri" w:cs="Calibri"/>
          <w:color w:val="000000" w:themeColor="text1"/>
          <w:sz w:val="22"/>
          <w:szCs w:val="22"/>
          <w:lang w:val="es-CO" w:eastAsia="es-CO"/>
        </w:rPr>
        <w:t xml:space="preserve">que </w:t>
      </w:r>
      <w:r w:rsidR="00F96C2A" w:rsidRPr="00144095">
        <w:rPr>
          <w:rFonts w:ascii="Calibri" w:hAnsi="Calibri" w:cs="Calibri"/>
          <w:color w:val="000000" w:themeColor="text1"/>
          <w:sz w:val="22"/>
          <w:szCs w:val="22"/>
        </w:rPr>
        <w:t xml:space="preserve"> a la fecha del valor total de recaudo de cartera de vigencias anteriores quedan susceptibles de adición la suma total de </w:t>
      </w:r>
      <w:r w:rsidR="00F96C2A" w:rsidRPr="00144095">
        <w:rPr>
          <w:rFonts w:ascii="Calibri" w:hAnsi="Calibri" w:cs="Calibri"/>
          <w:b/>
          <w:color w:val="000000" w:themeColor="text1"/>
          <w:sz w:val="22"/>
          <w:szCs w:val="22"/>
        </w:rPr>
        <w:t>TRES MIL NOVECIENTOS CUATRO MILLONES QUINIENTOS TREINTA MIL CUATROCIENTOS DIECINUEVE PESOS MCTE ($3.904,530,419)</w:t>
      </w:r>
      <w:r w:rsidR="00F96C2A" w:rsidRPr="00144095">
        <w:rPr>
          <w:rFonts w:ascii="Calibri" w:hAnsi="Calibri" w:cs="Calibri"/>
          <w:b/>
          <w:bCs/>
          <w:color w:val="000000" w:themeColor="text1"/>
          <w:sz w:val="22"/>
          <w:szCs w:val="22"/>
          <w:lang w:val="es-ES_tradnl" w:eastAsia="es-CO"/>
        </w:rPr>
        <w:t>,</w:t>
      </w:r>
      <w:r w:rsidR="007B11DD">
        <w:rPr>
          <w:rFonts w:ascii="Calibri" w:hAnsi="Calibri" w:cs="Calibri"/>
          <w:b/>
          <w:bCs/>
          <w:color w:val="000000" w:themeColor="text1"/>
          <w:sz w:val="22"/>
          <w:szCs w:val="22"/>
          <w:lang w:val="es-ES_tradnl" w:eastAsia="es-CO"/>
        </w:rPr>
        <w:t xml:space="preserve"> </w:t>
      </w:r>
      <w:r w:rsidR="007B11DD">
        <w:rPr>
          <w:rFonts w:ascii="Calibri" w:hAnsi="Calibri" w:cs="Calibri"/>
          <w:color w:val="000000" w:themeColor="text1"/>
          <w:sz w:val="22"/>
          <w:szCs w:val="22"/>
          <w:lang w:val="es-ES_tradnl" w:eastAsia="es-CO"/>
        </w:rPr>
        <w:t>q</w:t>
      </w:r>
      <w:r w:rsidR="00360B5A" w:rsidRPr="00144095">
        <w:rPr>
          <w:rFonts w:ascii="Calibri" w:hAnsi="Calibri" w:cs="Calibri"/>
          <w:color w:val="000000" w:themeColor="text1"/>
          <w:sz w:val="22"/>
          <w:szCs w:val="22"/>
          <w:lang w:val="es-ES_tradnl" w:eastAsia="es-CO"/>
        </w:rPr>
        <w:t xml:space="preserve">ue con base en </w:t>
      </w:r>
      <w:r w:rsidR="00360B5A" w:rsidRPr="00144095">
        <w:rPr>
          <w:rFonts w:ascii="Calibri" w:hAnsi="Calibri" w:cs="Calibri"/>
          <w:color w:val="000000" w:themeColor="text1"/>
          <w:sz w:val="22"/>
          <w:szCs w:val="22"/>
        </w:rPr>
        <w:t xml:space="preserve">Oficio de aceptación de la indemnización siniestro 600-83-2022-28 amparado por la aseguradora solidaria de Colombia se consiguió indemnización por la suma de </w:t>
      </w:r>
      <w:r w:rsidR="00360B5A" w:rsidRPr="00144095">
        <w:rPr>
          <w:rFonts w:ascii="Calibri" w:hAnsi="Calibri" w:cs="Calibri"/>
          <w:b/>
          <w:bCs/>
          <w:color w:val="000000" w:themeColor="text1"/>
          <w:sz w:val="22"/>
          <w:szCs w:val="22"/>
          <w:lang w:val="es-ES_tradnl" w:eastAsia="es-CO"/>
        </w:rPr>
        <w:t>TRESCIENTOS</w:t>
      </w:r>
      <w:r w:rsidR="00360B5A" w:rsidRPr="0014409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CUARENTA Y SEIS MILLONES NOVECIENTOS VEINTIOCHO MIL OCHOCIENTOS SETENTA Y SEIS PESOS MCTE ($346,928,876) </w:t>
      </w:r>
      <w:r w:rsidR="00360B5A" w:rsidRPr="00144095">
        <w:rPr>
          <w:rFonts w:ascii="Calibri" w:hAnsi="Calibri" w:cs="Calibri"/>
          <w:color w:val="000000" w:themeColor="text1"/>
          <w:sz w:val="22"/>
          <w:szCs w:val="22"/>
        </w:rPr>
        <w:t>correspondiente al cubrimiento del siniestro ocurrido en el equipo TOMOGRAFO SUPRIA SERIAL X1866, los cuales ya fueron ingresados en caja de la Institución,</w:t>
      </w:r>
    </w:p>
    <w:p w14:paraId="454F1D26" w14:textId="7F9B5E6C" w:rsidR="00360B5A" w:rsidRPr="00144095" w:rsidRDefault="00360B5A" w:rsidP="00144095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ES_tradnl" w:eastAsia="es-CO"/>
        </w:rPr>
      </w:pPr>
      <w:r w:rsidRPr="001440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1E1878" w14:textId="0EC9BA12" w:rsidR="00360B5A" w:rsidRPr="00144095" w:rsidRDefault="00360B5A" w:rsidP="00360B5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s-ES_tradnl" w:eastAsia="es-CO"/>
        </w:rPr>
      </w:pPr>
      <w:r w:rsidRPr="00144095">
        <w:rPr>
          <w:rFonts w:asciiTheme="minorHAnsi" w:hAnsiTheme="minorHAnsi" w:cstheme="minorHAnsi"/>
          <w:color w:val="000000"/>
          <w:sz w:val="22"/>
          <w:szCs w:val="22"/>
        </w:rPr>
        <w:t xml:space="preserve">Que con corte a la fecha se encuentran con respaldo presupuestal las cuentas por pagar de vigencias anteriores constituidas mediante resolución No 129 del año 2021 por un valor total de </w:t>
      </w:r>
      <w:r w:rsidRPr="00144095"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  <w:t xml:space="preserve">MIL SETECIENTOS CUARENTA Y DOS MILLONES QUINIENTOS DOS MIL DOSCIENTOS CUARENTA Y DOS PESOS ($1.742,502,242) </w:t>
      </w:r>
      <w:r w:rsidRPr="00144095">
        <w:rPr>
          <w:rFonts w:asciiTheme="minorHAnsi" w:hAnsiTheme="minorHAnsi" w:cstheme="minorHAnsi"/>
          <w:b/>
          <w:bCs/>
          <w:color w:val="000000"/>
          <w:sz w:val="22"/>
          <w:szCs w:val="22"/>
          <w:lang w:val="es-ES_tradnl" w:eastAsia="es-CO"/>
        </w:rPr>
        <w:t xml:space="preserve">MCTE, </w:t>
      </w:r>
      <w:r w:rsidR="00E26D65" w:rsidRPr="00144095">
        <w:rPr>
          <w:rFonts w:asciiTheme="minorHAnsi" w:hAnsiTheme="minorHAnsi" w:cstheme="minorHAnsi"/>
          <w:b/>
          <w:bCs/>
          <w:color w:val="000000"/>
          <w:sz w:val="22"/>
          <w:szCs w:val="22"/>
          <w:lang w:val="es-ES_tradnl" w:eastAsia="es-CO"/>
        </w:rPr>
        <w:t xml:space="preserve">las cuales a la fecha se han pagado en su totalidad </w:t>
      </w:r>
      <w:r w:rsidRPr="00144095">
        <w:rPr>
          <w:rFonts w:asciiTheme="minorHAnsi" w:hAnsiTheme="minorHAnsi" w:cstheme="minorHAnsi"/>
          <w:color w:val="000000"/>
          <w:sz w:val="22"/>
          <w:szCs w:val="22"/>
          <w:lang w:val="es-ES_tradnl" w:eastAsia="es-CO"/>
        </w:rPr>
        <w:t xml:space="preserve">quedando un saldo por pagar a la fecha </w:t>
      </w:r>
      <w:r w:rsidRPr="00144095">
        <w:rPr>
          <w:rFonts w:asciiTheme="minorHAnsi" w:hAnsiTheme="minorHAnsi" w:cstheme="minorHAnsi"/>
          <w:b/>
          <w:bCs/>
          <w:color w:val="000000"/>
          <w:sz w:val="22"/>
          <w:szCs w:val="22"/>
          <w:lang w:val="es-ES_tradnl" w:eastAsia="es-CO"/>
        </w:rPr>
        <w:t>CERO PESOS MCTE ($0)</w:t>
      </w:r>
    </w:p>
    <w:p w14:paraId="6BF409D8" w14:textId="77777777" w:rsidR="00C37AC9" w:rsidRPr="00544C71" w:rsidRDefault="00C37AC9" w:rsidP="00360B5A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</w:pPr>
    </w:p>
    <w:p w14:paraId="289D6905" w14:textId="77777777" w:rsidR="00360B5A" w:rsidRPr="00843072" w:rsidRDefault="00360B5A" w:rsidP="007025B7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lang w:val="es-ES_tradnl" w:eastAsia="es-CO"/>
        </w:rPr>
      </w:pPr>
    </w:p>
    <w:p w14:paraId="39D2ABD9" w14:textId="77777777" w:rsidR="007025B7" w:rsidRPr="00843072" w:rsidRDefault="007025B7" w:rsidP="007025B7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lang w:val="es-ES_tradnl" w:eastAsia="es-CO"/>
        </w:rPr>
      </w:pPr>
      <w:r w:rsidRPr="00843072">
        <w:rPr>
          <w:rFonts w:ascii="Calibri" w:hAnsi="Calibri" w:cs="Calibri"/>
          <w:b/>
          <w:bCs/>
          <w:color w:val="FF0000"/>
          <w:sz w:val="22"/>
          <w:szCs w:val="22"/>
          <w:lang w:val="es-ES_tradnl" w:eastAsia="es-CO"/>
        </w:rPr>
        <w:t xml:space="preserve"> </w:t>
      </w:r>
    </w:p>
    <w:p w14:paraId="6217852A" w14:textId="77777777" w:rsidR="007025B7" w:rsidRPr="0029020D" w:rsidRDefault="007025B7" w:rsidP="007025B7">
      <w:pPr>
        <w:jc w:val="both"/>
        <w:rPr>
          <w:rFonts w:ascii="Calibri" w:hAnsi="Calibri" w:cs="Calibri"/>
          <w:color w:val="000000"/>
          <w:sz w:val="22"/>
          <w:szCs w:val="22"/>
          <w:lang w:val="es-CO" w:eastAsia="es-CO"/>
        </w:rPr>
      </w:pPr>
      <w:r w:rsidRPr="00544C71">
        <w:rPr>
          <w:rFonts w:ascii="Calibri" w:hAnsi="Calibri" w:cs="Calibri"/>
          <w:color w:val="000000"/>
          <w:sz w:val="22"/>
          <w:szCs w:val="22"/>
          <w:lang w:val="es-ES_tradnl" w:eastAsia="es-CO"/>
        </w:rPr>
        <w:lastRenderedPageBreak/>
        <w:t>Que se respaldara el 5% de mantenimiento con recursos de recuperación de cartera de vigencias anteriores por un valor total de</w:t>
      </w:r>
      <w:r w:rsidRPr="00843072">
        <w:rPr>
          <w:rFonts w:ascii="Calibri" w:hAnsi="Calibri" w:cs="Calibri"/>
          <w:b/>
          <w:bCs/>
          <w:color w:val="FF0000"/>
          <w:sz w:val="22"/>
          <w:szCs w:val="22"/>
          <w:lang w:val="es-ES_tradnl" w:eastAsia="es-CO"/>
        </w:rPr>
        <w:t xml:space="preserve"> </w:t>
      </w:r>
      <w:r w:rsidRPr="0029020D"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>DOSCIENTOS D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>OCE</w:t>
      </w:r>
      <w:r w:rsidRPr="0029020D"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 xml:space="preserve"> MILLONES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 xml:space="preserve">QUINIENTOS SETENTA Y DOS </w:t>
      </w:r>
      <w:r w:rsidRPr="0029020D"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 xml:space="preserve">MIL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>NOVECIENTOS SESENTA Y CINCO</w:t>
      </w:r>
      <w:r w:rsidRPr="0029020D"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 xml:space="preserve"> PESOS MCTE ($</w:t>
      </w:r>
      <w:r w:rsidRPr="00FD3CB6"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>212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>,</w:t>
      </w:r>
      <w:r w:rsidRPr="00FD3CB6"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>572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>,</w:t>
      </w:r>
      <w:r w:rsidRPr="00FD3CB6"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>965</w:t>
      </w:r>
      <w:r w:rsidRPr="0029020D"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 xml:space="preserve">). </w:t>
      </w:r>
    </w:p>
    <w:p w14:paraId="3B5C7439" w14:textId="77777777" w:rsidR="007025B7" w:rsidRPr="00843072" w:rsidRDefault="007025B7" w:rsidP="007025B7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lang w:val="es-ES_tradnl" w:eastAsia="es-CO"/>
        </w:rPr>
      </w:pPr>
    </w:p>
    <w:p w14:paraId="64E391FC" w14:textId="77777777" w:rsidR="007025B7" w:rsidRPr="00544C71" w:rsidRDefault="007025B7" w:rsidP="007025B7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</w:pPr>
      <w:r w:rsidRPr="00544C71">
        <w:rPr>
          <w:rFonts w:ascii="Calibri" w:hAnsi="Calibri" w:cs="Calibri"/>
          <w:color w:val="000000"/>
          <w:sz w:val="22"/>
          <w:szCs w:val="22"/>
          <w:lang w:val="es-ES_tradnl"/>
        </w:rPr>
        <w:t>Con base en lo anterior, el valor a adicionar en el presente acuerdo es de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</w:t>
      </w:r>
      <w:r w:rsidRPr="0029020D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CUATRO MIL DOSCIENTOS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 xml:space="preserve"> CINCUENTA Y UN MILLONES CUATROCIENTOS CINCUENTA Y NUEVE MIL DOSCIENTOS NOVENTA Y CINCO </w:t>
      </w:r>
      <w:r w:rsidRPr="0029020D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PESOS MCTE</w:t>
      </w:r>
      <w:r w:rsidRPr="0029020D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(</w:t>
      </w:r>
      <w:r w:rsidRPr="0029020D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$</w:t>
      </w:r>
      <w:r w:rsidRPr="0029020D">
        <w:rPr>
          <w:rFonts w:ascii="Calibri" w:hAnsi="Calibri" w:cs="Calibri"/>
          <w:b/>
          <w:bCs/>
          <w:color w:val="000000"/>
          <w:sz w:val="22"/>
          <w:szCs w:val="22"/>
          <w:lang w:val="es-CO" w:eastAsia="es-CO"/>
        </w:rPr>
        <w:t>4.2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CO" w:eastAsia="es-CO"/>
        </w:rPr>
        <w:t>51,459,295</w:t>
      </w:r>
      <w:r w:rsidRPr="0029020D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),</w:t>
      </w:r>
      <w:r w:rsidRPr="00843072">
        <w:rPr>
          <w:rFonts w:ascii="Calibri" w:hAnsi="Calibri" w:cs="Calibri"/>
          <w:color w:val="FF0000"/>
          <w:sz w:val="22"/>
          <w:szCs w:val="22"/>
          <w:lang w:val="es-ES_tradnl"/>
        </w:rPr>
        <w:t xml:space="preserve"> </w:t>
      </w:r>
      <w:r w:rsidRPr="00544C71">
        <w:rPr>
          <w:rFonts w:ascii="Calibri" w:hAnsi="Calibri" w:cs="Calibri"/>
          <w:color w:val="000000"/>
          <w:sz w:val="22"/>
          <w:szCs w:val="22"/>
          <w:lang w:val="es-ES_tradnl"/>
        </w:rPr>
        <w:t>en los rubros de ingresos del presupuesto del Hospital Regional de Moniquirá E.S.E.:</w:t>
      </w:r>
    </w:p>
    <w:p w14:paraId="0964643D" w14:textId="77777777" w:rsidR="007025B7" w:rsidRPr="00843072" w:rsidRDefault="007025B7" w:rsidP="007025B7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6B663D04" w14:textId="77777777" w:rsidR="007025B7" w:rsidRPr="0029020D" w:rsidRDefault="007025B7" w:rsidP="007025B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9020D">
        <w:rPr>
          <w:rFonts w:ascii="Calibri" w:hAnsi="Calibri" w:cs="Calibri"/>
          <w:b/>
          <w:color w:val="000000"/>
          <w:sz w:val="22"/>
          <w:szCs w:val="22"/>
        </w:rPr>
        <w:t xml:space="preserve">INGRESOS: </w:t>
      </w:r>
    </w:p>
    <w:p w14:paraId="4C3FBFE2" w14:textId="77777777" w:rsidR="007025B7" w:rsidRPr="00843072" w:rsidRDefault="007025B7" w:rsidP="007025B7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6"/>
        <w:gridCol w:w="4514"/>
        <w:gridCol w:w="1942"/>
      </w:tblGrid>
      <w:tr w:rsidR="007025B7" w:rsidRPr="00FD3CB6" w14:paraId="020D519C" w14:textId="77777777" w:rsidTr="00E62DDF">
        <w:trPr>
          <w:trHeight w:val="30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1DA3" w14:textId="77777777" w:rsidR="007025B7" w:rsidRPr="00FD3CB6" w:rsidRDefault="007025B7" w:rsidP="00E62D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CÓDIGO</w:t>
            </w:r>
          </w:p>
        </w:tc>
        <w:tc>
          <w:tcPr>
            <w:tcW w:w="2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DC91" w14:textId="77777777" w:rsidR="007025B7" w:rsidRPr="00FD3CB6" w:rsidRDefault="007025B7" w:rsidP="00E62D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NOMBRE _ CÓDIGO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8529" w14:textId="77777777" w:rsidR="007025B7" w:rsidRPr="00FD3CB6" w:rsidRDefault="007025B7" w:rsidP="00E62D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VALOR   </w:t>
            </w:r>
          </w:p>
        </w:tc>
      </w:tr>
      <w:tr w:rsidR="007025B7" w:rsidRPr="00FD3CB6" w14:paraId="46EE8BB4" w14:textId="77777777" w:rsidTr="00E62DDF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08DBC" w14:textId="77777777" w:rsidR="007025B7" w:rsidRPr="00FD3CB6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A4AC1" w14:textId="77777777" w:rsidR="007025B7" w:rsidRPr="00FD3CB6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INGRESOS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229659" w14:textId="77777777" w:rsidR="007025B7" w:rsidRPr="00FD3CB6" w:rsidRDefault="007025B7" w:rsidP="00E62DD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4,251,459,295 </w:t>
            </w:r>
          </w:p>
        </w:tc>
      </w:tr>
      <w:tr w:rsidR="007025B7" w:rsidRPr="00FD3CB6" w14:paraId="23C136E2" w14:textId="77777777" w:rsidTr="00E62DDF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8725B25" w14:textId="77777777" w:rsidR="007025B7" w:rsidRPr="00FD3CB6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1.1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61F83B7" w14:textId="77777777" w:rsidR="007025B7" w:rsidRPr="00FD3CB6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TOTAL, INGRESOS CORRIENTES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20CE52F" w14:textId="77777777" w:rsidR="007025B7" w:rsidRPr="00FD3CB6" w:rsidRDefault="007025B7" w:rsidP="00E62DD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4,251,459,295 </w:t>
            </w:r>
          </w:p>
        </w:tc>
      </w:tr>
      <w:tr w:rsidR="007025B7" w:rsidRPr="00FD3CB6" w14:paraId="077A8319" w14:textId="77777777" w:rsidTr="00E62DDF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6634AC7" w14:textId="77777777" w:rsidR="007025B7" w:rsidRPr="00FD3CB6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1.1.02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A38837D" w14:textId="77777777" w:rsidR="007025B7" w:rsidRPr="00FD3CB6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INGRESOS NO TRIBUTARIOS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5195264" w14:textId="77777777" w:rsidR="007025B7" w:rsidRPr="00FD3CB6" w:rsidRDefault="007025B7" w:rsidP="00E62DD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4,251,459,295 </w:t>
            </w:r>
          </w:p>
        </w:tc>
      </w:tr>
      <w:tr w:rsidR="007025B7" w:rsidRPr="00FD3CB6" w14:paraId="28FC0AB6" w14:textId="77777777" w:rsidTr="00E62DDF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204157A" w14:textId="77777777" w:rsidR="007025B7" w:rsidRPr="00FD3CB6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1.1.02.05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1B8900E" w14:textId="77777777" w:rsidR="007025B7" w:rsidRPr="00FD3CB6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VENTA DE BIENES Y SERVICIOS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07B65C5" w14:textId="77777777" w:rsidR="007025B7" w:rsidRPr="00FD3CB6" w:rsidRDefault="007025B7" w:rsidP="00E62DD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3,904,530,419 </w:t>
            </w:r>
          </w:p>
        </w:tc>
      </w:tr>
      <w:tr w:rsidR="007025B7" w:rsidRPr="00FD3CB6" w14:paraId="09F79B90" w14:textId="77777777" w:rsidTr="00E62DDF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C148" w14:textId="77777777" w:rsidR="007025B7" w:rsidRPr="00FD3CB6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1.1.02.05.001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C6D7" w14:textId="77777777" w:rsidR="007025B7" w:rsidRPr="00FD3CB6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Ventas de establecimientos de mercado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FE38" w14:textId="77777777" w:rsidR="007025B7" w:rsidRPr="00FD3CB6" w:rsidRDefault="007025B7" w:rsidP="00E62DD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3,904,530,419 </w:t>
            </w:r>
          </w:p>
        </w:tc>
      </w:tr>
      <w:tr w:rsidR="007025B7" w:rsidRPr="00FD3CB6" w14:paraId="764EAD23" w14:textId="77777777" w:rsidTr="00E62DDF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878" w14:textId="77777777" w:rsidR="007025B7" w:rsidRPr="00FD3CB6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1.1.02.05.001.09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F688" w14:textId="77777777" w:rsidR="007025B7" w:rsidRPr="00FD3CB6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Servicios para la comunidad, sociales y personales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B1D3" w14:textId="77777777" w:rsidR="007025B7" w:rsidRPr="00FD3CB6" w:rsidRDefault="007025B7" w:rsidP="00E62DD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3,904,530,419 </w:t>
            </w:r>
          </w:p>
        </w:tc>
      </w:tr>
      <w:tr w:rsidR="007025B7" w:rsidRPr="00FD3CB6" w14:paraId="0149EEB3" w14:textId="77777777" w:rsidTr="00E62DDF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3550E7A" w14:textId="77777777" w:rsidR="007025B7" w:rsidRPr="00FD3CB6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1.1.02.06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1193FF4" w14:textId="77777777" w:rsidR="007025B7" w:rsidRPr="00FD3CB6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TRANSFERENCIA CORRIENTE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0B7411E" w14:textId="77777777" w:rsidR="007025B7" w:rsidRPr="00FD3CB6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    346,928,876 </w:t>
            </w:r>
          </w:p>
        </w:tc>
      </w:tr>
      <w:tr w:rsidR="007025B7" w:rsidRPr="00FD3CB6" w14:paraId="505F2080" w14:textId="77777777" w:rsidTr="00E62DDF">
        <w:trPr>
          <w:trHeight w:val="467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F17E" w14:textId="77777777" w:rsidR="007025B7" w:rsidRPr="00FD3CB6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1.1.02.06.011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258B" w14:textId="77777777" w:rsidR="007025B7" w:rsidRPr="00FD3CB6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</w:t>
            </w:r>
            <w:r w:rsidRPr="00FD3CB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ndemnizaciones relacionadas con seguros no de vida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48BB" w14:textId="77777777" w:rsidR="007025B7" w:rsidRPr="00FD3CB6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D3CB6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               346,928,876 </w:t>
            </w:r>
          </w:p>
        </w:tc>
      </w:tr>
    </w:tbl>
    <w:p w14:paraId="6C6E9DEC" w14:textId="77777777" w:rsidR="007025B7" w:rsidRPr="00843072" w:rsidRDefault="007025B7" w:rsidP="007025B7">
      <w:pPr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14:paraId="6AAD5540" w14:textId="77777777" w:rsidR="00AB417B" w:rsidRDefault="007025B7" w:rsidP="00AB417B">
      <w:pPr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44882">
        <w:rPr>
          <w:rFonts w:ascii="Arial Narrow" w:hAnsi="Arial Narrow"/>
          <w:sz w:val="22"/>
          <w:szCs w:val="22"/>
        </w:rPr>
        <w:t>El día 05 de febrero de 2022, acaeció el daño del TOMOGRAFO SUPRIA SERIAL X1866 de la Institución, siendo el diagnostico de daño el denominado “informe técnico de inspección y diagnostico”, por el cual ingenieros de TAICHI diagnostican las causas del daño en el equipo, discriminándolas en la siguiente forma:</w:t>
      </w:r>
      <w:r>
        <w:rPr>
          <w:rFonts w:ascii="Arial Narrow" w:hAnsi="Arial Narrow"/>
          <w:sz w:val="22"/>
          <w:szCs w:val="22"/>
        </w:rPr>
        <w:t>” el</w:t>
      </w:r>
      <w:r w:rsidRPr="00344882">
        <w:rPr>
          <w:rFonts w:ascii="Arial Narrow" w:hAnsi="Arial Narrow"/>
          <w:sz w:val="22"/>
          <w:szCs w:val="22"/>
        </w:rPr>
        <w:t xml:space="preserve"> mismo presenta daños en el tubo de rayos x serial HQ20034618 y en el generador de alto voltaje serial G560030718-3</w:t>
      </w:r>
      <w:r w:rsidR="00AB417B">
        <w:rPr>
          <w:rFonts w:ascii="Arial Narrow" w:hAnsi="Arial Narrow"/>
          <w:sz w:val="22"/>
          <w:szCs w:val="22"/>
        </w:rPr>
        <w:t>.”</w:t>
      </w:r>
    </w:p>
    <w:p w14:paraId="16AC7575" w14:textId="77777777" w:rsidR="007025B7" w:rsidRPr="00344882" w:rsidRDefault="007025B7" w:rsidP="00AB417B">
      <w:pPr>
        <w:spacing w:after="200" w:line="276" w:lineRule="auto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344882">
        <w:rPr>
          <w:rFonts w:ascii="Arial Narrow" w:hAnsi="Arial Narrow"/>
          <w:sz w:val="22"/>
          <w:szCs w:val="22"/>
        </w:rPr>
        <w:t xml:space="preserve"> </w:t>
      </w:r>
    </w:p>
    <w:p w14:paraId="7122D0FC" w14:textId="3A9B1D12" w:rsidR="007025B7" w:rsidRDefault="007025B7" w:rsidP="007025B7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44C71">
        <w:rPr>
          <w:rFonts w:ascii="Calibri" w:hAnsi="Calibri" w:cs="Calibri"/>
          <w:bCs/>
          <w:color w:val="000000"/>
          <w:sz w:val="22"/>
          <w:szCs w:val="22"/>
        </w:rPr>
        <w:t xml:space="preserve">Que con base en lo anterior es necesario realizar adición en el rubro de inversión para la adquisición de un Tomógrafo nuevo </w:t>
      </w:r>
      <w:proofErr w:type="gramStart"/>
      <w:r w:rsidR="00AB417B">
        <w:rPr>
          <w:rFonts w:ascii="Calibri" w:hAnsi="Calibri" w:cs="Calibri"/>
          <w:bCs/>
          <w:color w:val="000000"/>
          <w:sz w:val="22"/>
          <w:szCs w:val="22"/>
        </w:rPr>
        <w:t>según  informe</w:t>
      </w:r>
      <w:proofErr w:type="gramEnd"/>
      <w:r w:rsidR="00AB417B">
        <w:rPr>
          <w:rFonts w:ascii="Calibri" w:hAnsi="Calibri" w:cs="Calibri"/>
          <w:bCs/>
          <w:color w:val="000000"/>
          <w:sz w:val="22"/>
          <w:szCs w:val="22"/>
        </w:rPr>
        <w:t xml:space="preserve"> técnico de obsolescencia, análisis costo/beneficio </w:t>
      </w:r>
      <w:r w:rsidRPr="00544C71">
        <w:rPr>
          <w:rFonts w:ascii="Calibri" w:hAnsi="Calibri" w:cs="Calibri"/>
          <w:bCs/>
          <w:color w:val="000000"/>
          <w:sz w:val="22"/>
          <w:szCs w:val="22"/>
        </w:rPr>
        <w:t xml:space="preserve"> de acuerdo a las necesidades de la entidad</w:t>
      </w:r>
      <w:r w:rsidR="00AB417B">
        <w:rPr>
          <w:rFonts w:ascii="Calibri" w:hAnsi="Calibri" w:cs="Calibri"/>
          <w:bCs/>
          <w:color w:val="000000"/>
          <w:sz w:val="22"/>
          <w:szCs w:val="22"/>
        </w:rPr>
        <w:t xml:space="preserve"> y urgencia de adelantar dicho proceso</w:t>
      </w:r>
      <w:r w:rsidRPr="00544C71">
        <w:rPr>
          <w:rFonts w:ascii="Calibri" w:hAnsi="Calibri" w:cs="Calibri"/>
          <w:bCs/>
          <w:color w:val="000000"/>
          <w:sz w:val="22"/>
          <w:szCs w:val="22"/>
        </w:rPr>
        <w:t xml:space="preserve"> por  un valor total de </w:t>
      </w:r>
      <w:r w:rsidRPr="00516ED0">
        <w:rPr>
          <w:rFonts w:ascii="Calibri" w:hAnsi="Calibri" w:cs="Calibri"/>
          <w:b/>
          <w:color w:val="000000"/>
          <w:sz w:val="22"/>
          <w:szCs w:val="22"/>
        </w:rPr>
        <w:t xml:space="preserve">NOVECIENTOS NOVENTA Y SEIS MILLONES NOVECIENTOS VEINTIOCHO MIL OCHOCIENTOS SETENTA Y SEIS PESOS </w:t>
      </w:r>
      <w:r w:rsidRPr="0029020D">
        <w:rPr>
          <w:rFonts w:ascii="Calibri" w:hAnsi="Calibri" w:cs="Calibri"/>
          <w:b/>
          <w:color w:val="000000"/>
          <w:sz w:val="22"/>
          <w:szCs w:val="22"/>
        </w:rPr>
        <w:t>($996,928,876),</w:t>
      </w:r>
      <w:r w:rsidRPr="0029020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6ACA1E29" w14:textId="66F3EE2C" w:rsidR="00BA5AFA" w:rsidRDefault="00BA5AFA" w:rsidP="007025B7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370501C0" w14:textId="2196CFEB" w:rsidR="00BA5AFA" w:rsidRDefault="00BA5AFA" w:rsidP="007025B7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Que </w:t>
      </w:r>
      <w:r w:rsidR="00B97A07">
        <w:rPr>
          <w:rFonts w:ascii="Calibri" w:hAnsi="Calibri" w:cs="Calibri"/>
          <w:bCs/>
          <w:color w:val="000000"/>
          <w:sz w:val="22"/>
          <w:szCs w:val="22"/>
        </w:rPr>
        <w:t xml:space="preserve">es necesario realizar a la adición de los recursos destinados a la compra del equipo tomógrafo en el acápite de inversión, teniendo en cuenta que </w:t>
      </w:r>
      <w:r w:rsidR="00AA783A">
        <w:rPr>
          <w:rFonts w:ascii="Calibri" w:hAnsi="Calibri" w:cs="Calibri"/>
          <w:bCs/>
          <w:color w:val="000000"/>
          <w:sz w:val="22"/>
          <w:szCs w:val="22"/>
        </w:rPr>
        <w:t xml:space="preserve">de acuerdo a la resolución 408 de 2018 es necesario realizar seguimiento al indicador de gasto por UVR, el cual </w:t>
      </w:r>
      <w:r w:rsidR="00427D96">
        <w:rPr>
          <w:rFonts w:ascii="Calibri" w:hAnsi="Calibri" w:cs="Calibri"/>
          <w:bCs/>
          <w:color w:val="000000"/>
          <w:sz w:val="22"/>
          <w:szCs w:val="22"/>
        </w:rPr>
        <w:t>tendría</w:t>
      </w:r>
      <w:r w:rsidR="00AA783A">
        <w:rPr>
          <w:rFonts w:ascii="Calibri" w:hAnsi="Calibri" w:cs="Calibri"/>
          <w:bCs/>
          <w:color w:val="000000"/>
          <w:sz w:val="22"/>
          <w:szCs w:val="22"/>
        </w:rPr>
        <w:t xml:space="preserve"> un impacto al</w:t>
      </w:r>
      <w:r w:rsidR="00427D96">
        <w:rPr>
          <w:rFonts w:ascii="Calibri" w:hAnsi="Calibri" w:cs="Calibri"/>
          <w:bCs/>
          <w:color w:val="000000"/>
          <w:sz w:val="22"/>
          <w:szCs w:val="22"/>
        </w:rPr>
        <w:t>to de adicionarse tal recurso al gasto</w:t>
      </w:r>
      <w:r w:rsidR="00982D19">
        <w:rPr>
          <w:rFonts w:ascii="Calibri" w:hAnsi="Calibri" w:cs="Calibri"/>
          <w:bCs/>
          <w:color w:val="000000"/>
          <w:sz w:val="22"/>
          <w:szCs w:val="22"/>
        </w:rPr>
        <w:t xml:space="preserve"> corriente</w:t>
      </w:r>
      <w:r w:rsidR="00427D96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3496CC83" w14:textId="183083A7" w:rsidR="00427D96" w:rsidRDefault="00427D96" w:rsidP="007025B7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18374AC7" w14:textId="0CEA97AD" w:rsidR="00427D96" w:rsidRPr="0029020D" w:rsidRDefault="00427D96" w:rsidP="007025B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lastRenderedPageBreak/>
        <w:t xml:space="preserve">Que la resolución 2509 de 2012 fija en el </w:t>
      </w:r>
      <w:r w:rsidR="00EF1FC4">
        <w:rPr>
          <w:rFonts w:ascii="Calibri" w:hAnsi="Calibri" w:cs="Calibri"/>
          <w:bCs/>
          <w:color w:val="000000"/>
          <w:sz w:val="22"/>
          <w:szCs w:val="22"/>
        </w:rPr>
        <w:t>artículo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5  la metodología para la </w:t>
      </w:r>
      <w:r w:rsidR="00EF1FC4">
        <w:rPr>
          <w:rFonts w:ascii="Calibri" w:hAnsi="Calibri" w:cs="Calibri"/>
          <w:bCs/>
          <w:color w:val="000000"/>
          <w:sz w:val="22"/>
          <w:szCs w:val="22"/>
        </w:rPr>
        <w:t>ca</w:t>
      </w:r>
      <w:r w:rsidR="00077C1C">
        <w:rPr>
          <w:rFonts w:ascii="Calibri" w:hAnsi="Calibri" w:cs="Calibri"/>
          <w:bCs/>
          <w:color w:val="000000"/>
          <w:sz w:val="22"/>
          <w:szCs w:val="22"/>
        </w:rPr>
        <w:t>tegori</w:t>
      </w:r>
      <w:r w:rsidR="00EF1FC4">
        <w:rPr>
          <w:rFonts w:ascii="Calibri" w:hAnsi="Calibri" w:cs="Calibri"/>
          <w:bCs/>
          <w:color w:val="000000"/>
          <w:sz w:val="22"/>
          <w:szCs w:val="22"/>
        </w:rPr>
        <w:t>zación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del riesgo, en el cual se fija como indicador para </w:t>
      </w:r>
      <w:r w:rsidR="00EF1FC4">
        <w:rPr>
          <w:rFonts w:ascii="Calibri" w:hAnsi="Calibri" w:cs="Calibri"/>
          <w:bCs/>
          <w:color w:val="000000"/>
          <w:sz w:val="22"/>
          <w:szCs w:val="22"/>
        </w:rPr>
        <w:t xml:space="preserve">calcular </w:t>
      </w:r>
      <w:r>
        <w:rPr>
          <w:rFonts w:ascii="Calibri" w:hAnsi="Calibri" w:cs="Calibri"/>
          <w:bCs/>
          <w:color w:val="000000"/>
          <w:sz w:val="22"/>
          <w:szCs w:val="22"/>
        </w:rPr>
        <w:t>el superávit o déficit</w:t>
      </w:r>
      <w:r w:rsidR="00EF1FC4">
        <w:rPr>
          <w:rFonts w:ascii="Calibri" w:hAnsi="Calibri" w:cs="Calibri"/>
          <w:bCs/>
          <w:color w:val="000000"/>
          <w:sz w:val="22"/>
          <w:szCs w:val="22"/>
        </w:rPr>
        <w:t xml:space="preserve"> de las instituciones</w:t>
      </w:r>
      <w:r w:rsidR="00077C1C">
        <w:rPr>
          <w:rFonts w:ascii="Calibri" w:hAnsi="Calibri" w:cs="Calibri"/>
          <w:bCs/>
          <w:color w:val="000000"/>
          <w:sz w:val="22"/>
          <w:szCs w:val="22"/>
        </w:rPr>
        <w:t>, realizando el siguiente cálculo:</w:t>
      </w:r>
      <w:r w:rsidR="00EF1FC4">
        <w:rPr>
          <w:rFonts w:ascii="Calibri" w:hAnsi="Calibri" w:cs="Calibri"/>
          <w:bCs/>
          <w:color w:val="000000"/>
          <w:sz w:val="22"/>
          <w:szCs w:val="22"/>
        </w:rPr>
        <w:t xml:space="preserve"> ingresos corrientes de la vigencia menos gastos de funcionamiento y de operación comercial de la empresa</w:t>
      </w:r>
      <w:r w:rsidR="00BE50EC">
        <w:rPr>
          <w:rFonts w:ascii="Calibri" w:hAnsi="Calibri" w:cs="Calibri"/>
          <w:bCs/>
          <w:color w:val="000000"/>
          <w:sz w:val="22"/>
          <w:szCs w:val="22"/>
        </w:rPr>
        <w:t xml:space="preserve">, lo cual se afectaría con la </w:t>
      </w:r>
      <w:r w:rsidR="00077C1C">
        <w:rPr>
          <w:rFonts w:ascii="Calibri" w:hAnsi="Calibri" w:cs="Calibri"/>
          <w:bCs/>
          <w:color w:val="000000"/>
          <w:sz w:val="22"/>
          <w:szCs w:val="22"/>
        </w:rPr>
        <w:t>inclusión</w:t>
      </w:r>
      <w:r w:rsidR="00BE50EC">
        <w:rPr>
          <w:rFonts w:ascii="Calibri" w:hAnsi="Calibri" w:cs="Calibri"/>
          <w:bCs/>
          <w:color w:val="000000"/>
          <w:sz w:val="22"/>
          <w:szCs w:val="22"/>
        </w:rPr>
        <w:t xml:space="preserve"> de los recursos</w:t>
      </w:r>
      <w:r w:rsidR="00077C1C">
        <w:rPr>
          <w:rFonts w:ascii="Calibri" w:hAnsi="Calibri" w:cs="Calibri"/>
          <w:bCs/>
          <w:color w:val="000000"/>
          <w:sz w:val="22"/>
          <w:szCs w:val="22"/>
        </w:rPr>
        <w:t xml:space="preserve"> de adquisición del equipo tomógrafo en el capítulo de gastos de funcionamiento del presupuesto de la institución. </w:t>
      </w:r>
    </w:p>
    <w:p w14:paraId="5FB83853" w14:textId="77777777" w:rsidR="007025B7" w:rsidRPr="0029020D" w:rsidRDefault="007025B7" w:rsidP="007025B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955ADD5" w14:textId="77777777" w:rsidR="007025B7" w:rsidRPr="0029020D" w:rsidRDefault="007025B7" w:rsidP="007025B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9020D">
        <w:rPr>
          <w:rFonts w:ascii="Calibri" w:hAnsi="Calibri" w:cs="Calibri"/>
          <w:color w:val="000000"/>
          <w:sz w:val="22"/>
          <w:szCs w:val="22"/>
        </w:rPr>
        <w:t>Que virtud de lo anterior dichos valores deben ser adicionados al presupuesto de gastos de acuerdo a la distribución que se presenta en los siguientes rubros:</w:t>
      </w:r>
    </w:p>
    <w:p w14:paraId="26FA8A83" w14:textId="5F952BE3" w:rsidR="007025B7" w:rsidRDefault="007025B7" w:rsidP="007025B7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8C19B92" w14:textId="367A36C3" w:rsidR="00B24838" w:rsidRDefault="00B24838" w:rsidP="007025B7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993A119" w14:textId="77777777" w:rsidR="00B24838" w:rsidRPr="00843072" w:rsidRDefault="00B24838" w:rsidP="007025B7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4A09E07" w14:textId="77777777" w:rsidR="007025B7" w:rsidRPr="00613362" w:rsidRDefault="007025B7" w:rsidP="007025B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13362">
        <w:rPr>
          <w:rFonts w:ascii="Calibri" w:hAnsi="Calibri" w:cs="Calibri"/>
          <w:b/>
          <w:color w:val="000000"/>
          <w:sz w:val="22"/>
          <w:szCs w:val="22"/>
        </w:rPr>
        <w:t>GASTOS: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4520"/>
        <w:gridCol w:w="1942"/>
      </w:tblGrid>
      <w:tr w:rsidR="007025B7" w:rsidRPr="009F4A17" w14:paraId="3D1FA63C" w14:textId="77777777" w:rsidTr="007025B7">
        <w:trPr>
          <w:trHeight w:val="30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5599" w14:textId="77777777" w:rsidR="007025B7" w:rsidRPr="009F4A17" w:rsidRDefault="007025B7" w:rsidP="00E62DDF">
            <w:pPr>
              <w:rPr>
                <w:lang w:val="es-CO" w:eastAsia="es-CO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FAD85" w14:textId="77777777" w:rsidR="007025B7" w:rsidRPr="009F4A17" w:rsidRDefault="007025B7" w:rsidP="00E62DDF">
            <w:pPr>
              <w:rPr>
                <w:lang w:val="es-CO" w:eastAsia="es-CO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801D" w14:textId="77777777" w:rsidR="007025B7" w:rsidRPr="009F4A17" w:rsidRDefault="007025B7" w:rsidP="00E62DDF">
            <w:pPr>
              <w:rPr>
                <w:lang w:val="es-CO" w:eastAsia="es-CO"/>
              </w:rPr>
            </w:pPr>
          </w:p>
        </w:tc>
      </w:tr>
      <w:tr w:rsidR="007025B7" w:rsidRPr="009F4A17" w14:paraId="12315C4D" w14:textId="77777777" w:rsidTr="007025B7">
        <w:trPr>
          <w:trHeight w:val="30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3380" w14:textId="77777777" w:rsidR="007025B7" w:rsidRPr="009F4A17" w:rsidRDefault="007025B7" w:rsidP="00E6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9F4A1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CÓDIGO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77F6" w14:textId="77777777" w:rsidR="007025B7" w:rsidRPr="009F4A17" w:rsidRDefault="007025B7" w:rsidP="00E6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9F4A1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NOMBRE_CÓDIGO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F6A1" w14:textId="77777777" w:rsidR="007025B7" w:rsidRPr="009F4A17" w:rsidRDefault="007025B7" w:rsidP="00E6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9F4A1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 VALOR  </w:t>
            </w:r>
          </w:p>
        </w:tc>
      </w:tr>
      <w:tr w:rsidR="007025B7" w:rsidRPr="009F4A17" w14:paraId="48F3CDE8" w14:textId="77777777" w:rsidTr="007025B7">
        <w:trPr>
          <w:trHeight w:val="30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EB956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2   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8D708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TOTAL, GASTOS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2E2FFD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4,251,459,295 </w:t>
            </w:r>
          </w:p>
        </w:tc>
      </w:tr>
      <w:tr w:rsidR="007025B7" w:rsidRPr="009F4A17" w14:paraId="74AA9BE7" w14:textId="77777777" w:rsidTr="007025B7">
        <w:trPr>
          <w:trHeight w:val="30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C2F24AF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2.1   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79F1A87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FUNCIONAMIENTO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DC9756D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3,254,530,419 </w:t>
            </w:r>
          </w:p>
        </w:tc>
      </w:tr>
      <w:tr w:rsidR="007025B7" w:rsidRPr="009F4A17" w14:paraId="3A84E708" w14:textId="77777777" w:rsidTr="007025B7">
        <w:trPr>
          <w:trHeight w:val="30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2BEDCB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2.1.2   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4E6EC5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ADQUISICOIN DE BIENES DE SERVICIOS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FC563B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3,254,530,419 </w:t>
            </w:r>
          </w:p>
        </w:tc>
      </w:tr>
      <w:tr w:rsidR="007025B7" w:rsidRPr="009F4A17" w14:paraId="25C44669" w14:textId="77777777" w:rsidTr="007025B7">
        <w:trPr>
          <w:trHeight w:val="30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9FF055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2.1.2.02.01   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D398DC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MATERIALES Y SUMINISTROS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9C21A9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    105,885,891 </w:t>
            </w:r>
          </w:p>
        </w:tc>
      </w:tr>
      <w:tr w:rsidR="007025B7" w:rsidRPr="009F4A17" w14:paraId="2438205F" w14:textId="77777777" w:rsidTr="007025B7">
        <w:trPr>
          <w:trHeight w:val="30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0D7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2.1.2.02.01.003   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8DF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ADQUISICION DE BIENES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BB16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    105,885,891 </w:t>
            </w:r>
          </w:p>
        </w:tc>
      </w:tr>
      <w:tr w:rsidR="007025B7" w:rsidRPr="009F4A17" w14:paraId="3C60926B" w14:textId="77777777" w:rsidTr="007025B7">
        <w:trPr>
          <w:trHeight w:val="30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3EAD23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2.1.2.02.02   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84DC46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ADQUISICION DE SERVICIOS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034AFC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3,148,644,528 </w:t>
            </w:r>
          </w:p>
        </w:tc>
      </w:tr>
      <w:tr w:rsidR="007025B7" w:rsidRPr="009F4A17" w14:paraId="3B1F2373" w14:textId="77777777" w:rsidTr="007025B7">
        <w:trPr>
          <w:trHeight w:val="48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E9DC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2.1.2.02.02.008   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98B4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SERVICIOS PRESTADOS A LAS EMPRESAS Y SERVICIOS DE PRODUCCION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0DED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    212,572,965 </w:t>
            </w:r>
          </w:p>
        </w:tc>
      </w:tr>
      <w:tr w:rsidR="007025B7" w:rsidRPr="009F4A17" w14:paraId="0FDD1756" w14:textId="77777777" w:rsidTr="007025B7">
        <w:trPr>
          <w:trHeight w:val="30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D143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2.1.2.02.02.009   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D30D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SERVICIOS PARA LA COMUNIDAD, SOCIALES Y PERSONALES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8027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2,936,071,563 </w:t>
            </w:r>
          </w:p>
        </w:tc>
      </w:tr>
      <w:tr w:rsidR="007025B7" w:rsidRPr="009F4A17" w14:paraId="4C9D70F8" w14:textId="77777777" w:rsidTr="007025B7">
        <w:trPr>
          <w:trHeight w:val="30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FD4F671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2.3   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7FF095F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INVERSIÓN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E173D75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    996,928,876 </w:t>
            </w:r>
          </w:p>
        </w:tc>
      </w:tr>
      <w:tr w:rsidR="007025B7" w:rsidRPr="009F4A17" w14:paraId="49DB57A8" w14:textId="77777777" w:rsidTr="007025B7">
        <w:trPr>
          <w:trHeight w:val="30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03AE2A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2.3.2   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3D5374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ADQUISICIÓN DE BIENES Y SERVICIOS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B76CF2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    996,928,876 </w:t>
            </w:r>
          </w:p>
        </w:tc>
      </w:tr>
      <w:tr w:rsidR="007025B7" w:rsidRPr="009F4A17" w14:paraId="24908DE1" w14:textId="77777777" w:rsidTr="007025B7">
        <w:trPr>
          <w:trHeight w:val="30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BE9667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2.3.2.01   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9CED78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ADQUISICIÓN DE ACTIVOS NO FINANCIEROS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4EFEC4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    996,928,876 </w:t>
            </w:r>
          </w:p>
        </w:tc>
      </w:tr>
      <w:tr w:rsidR="007025B7" w:rsidRPr="009F4A17" w14:paraId="2CB006BE" w14:textId="77777777" w:rsidTr="007025B7">
        <w:trPr>
          <w:trHeight w:val="30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9FC10F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2.3.2.01.01   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BE51DE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ACTIVOS FIJOS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5756F7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    996,928,876 </w:t>
            </w:r>
          </w:p>
        </w:tc>
      </w:tr>
      <w:tr w:rsidR="007025B7" w:rsidRPr="009F4A17" w14:paraId="2FCB8E2F" w14:textId="77777777" w:rsidTr="007025B7">
        <w:trPr>
          <w:trHeight w:val="30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FF65A9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2.3.2.01.01.003   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EBFEE8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MAQUINARIA Y EQUIPO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9EBD28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    996,928,876 </w:t>
            </w:r>
          </w:p>
        </w:tc>
      </w:tr>
      <w:tr w:rsidR="007025B7" w:rsidRPr="009F4A17" w14:paraId="3756025B" w14:textId="77777777" w:rsidTr="007025B7">
        <w:trPr>
          <w:trHeight w:val="48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7512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2.3.2.01.01.003.06    3.0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FEC5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APARATOS MÉDICOS, INSTRUMENTOS ÓPTICOS Y DE PRECISIÓN, RELOJES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8D22" w14:textId="77777777" w:rsidR="007025B7" w:rsidRPr="009F4A17" w:rsidRDefault="007025B7" w:rsidP="00E62DD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F4A1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              996,928,876 </w:t>
            </w:r>
          </w:p>
        </w:tc>
      </w:tr>
    </w:tbl>
    <w:p w14:paraId="2B60224C" w14:textId="77777777" w:rsidR="0093004D" w:rsidRDefault="0093004D" w:rsidP="007025B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9A52EF4" w14:textId="438A4AB0" w:rsidR="007025B7" w:rsidRDefault="007025B7" w:rsidP="007025B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4C71">
        <w:rPr>
          <w:rFonts w:ascii="Calibri" w:hAnsi="Calibri" w:cs="Calibri"/>
          <w:color w:val="000000"/>
          <w:sz w:val="22"/>
          <w:szCs w:val="22"/>
        </w:rPr>
        <w:t>Cordialmente,</w:t>
      </w:r>
    </w:p>
    <w:p w14:paraId="510734EF" w14:textId="77777777" w:rsidR="007025B7" w:rsidRPr="00544C71" w:rsidRDefault="007025B7" w:rsidP="007025B7">
      <w:pPr>
        <w:spacing w:line="276" w:lineRule="auto"/>
        <w:jc w:val="both"/>
        <w:rPr>
          <w:rFonts w:ascii="Calibri" w:hAnsi="Calibri" w:cs="Calibri"/>
          <w:bCs/>
          <w:color w:val="000000"/>
          <w:sz w:val="16"/>
          <w:szCs w:val="16"/>
        </w:rPr>
      </w:pPr>
      <w:r w:rsidRPr="00544C71">
        <w:rPr>
          <w:rFonts w:ascii="Calibri" w:hAnsi="Calibri" w:cs="Calibri"/>
          <w:bCs/>
          <w:color w:val="000000"/>
          <w:sz w:val="16"/>
          <w:szCs w:val="16"/>
        </w:rPr>
        <w:t>Proyecto: WENDY C.</w:t>
      </w:r>
    </w:p>
    <w:p w14:paraId="1C869D0D" w14:textId="77777777" w:rsidR="007025B7" w:rsidRPr="00544C71" w:rsidRDefault="007025B7" w:rsidP="007025B7">
      <w:pPr>
        <w:spacing w:line="276" w:lineRule="auto"/>
        <w:jc w:val="both"/>
        <w:rPr>
          <w:rFonts w:ascii="Calibri" w:hAnsi="Calibri" w:cs="Calibri"/>
          <w:bCs/>
          <w:color w:val="000000"/>
          <w:sz w:val="16"/>
          <w:szCs w:val="16"/>
        </w:rPr>
      </w:pPr>
      <w:r w:rsidRPr="00544C71">
        <w:rPr>
          <w:rFonts w:ascii="Calibri" w:hAnsi="Calibri" w:cs="Calibri"/>
          <w:bCs/>
          <w:color w:val="000000"/>
          <w:sz w:val="16"/>
          <w:szCs w:val="16"/>
        </w:rPr>
        <w:t>Reviso: LUIS A.P.</w:t>
      </w:r>
    </w:p>
    <w:p w14:paraId="0A737D5C" w14:textId="77777777" w:rsidR="007025B7" w:rsidRPr="00544C71" w:rsidRDefault="007025B7" w:rsidP="007025B7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B9CFBEE" w14:textId="77777777" w:rsidR="007025B7" w:rsidRPr="00544C71" w:rsidRDefault="007025B7" w:rsidP="007025B7">
      <w:pPr>
        <w:spacing w:line="276" w:lineRule="auto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544C71">
        <w:rPr>
          <w:rFonts w:ascii="Calibri" w:hAnsi="Calibri" w:cs="Calibri"/>
          <w:b/>
          <w:i/>
          <w:color w:val="000000"/>
          <w:sz w:val="22"/>
          <w:szCs w:val="22"/>
        </w:rPr>
        <w:t>LUIS CARLOS OLARTE CONTRERAS</w:t>
      </w:r>
    </w:p>
    <w:p w14:paraId="73377850" w14:textId="093320DE" w:rsidR="00AA4B81" w:rsidRPr="00A960D3" w:rsidRDefault="007025B7" w:rsidP="009C208F">
      <w:pPr>
        <w:spacing w:line="276" w:lineRule="auto"/>
        <w:jc w:val="center"/>
        <w:rPr>
          <w:rFonts w:ascii="Calibri Light" w:hAnsi="Calibri Light" w:cs="Calibri Light"/>
          <w:b/>
          <w:sz w:val="16"/>
          <w:szCs w:val="16"/>
          <w:lang w:val="es-AR"/>
        </w:rPr>
      </w:pPr>
      <w:r w:rsidRPr="00544C71">
        <w:rPr>
          <w:rFonts w:ascii="Calibri" w:hAnsi="Calibri" w:cs="Calibri"/>
          <w:b/>
          <w:i/>
          <w:color w:val="000000"/>
          <w:sz w:val="22"/>
          <w:szCs w:val="22"/>
        </w:rPr>
        <w:t>GERENTE.</w:t>
      </w:r>
    </w:p>
    <w:sectPr w:rsidR="00AA4B81" w:rsidRPr="00A960D3" w:rsidSect="00B4682C">
      <w:headerReference w:type="default" r:id="rId7"/>
      <w:footerReference w:type="default" r:id="rId8"/>
      <w:pgSz w:w="12242" w:h="15842" w:code="1"/>
      <w:pgMar w:top="1985" w:right="1469" w:bottom="141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3133" w14:textId="77777777" w:rsidR="00992938" w:rsidRDefault="00992938" w:rsidP="00036FDB">
      <w:r>
        <w:separator/>
      </w:r>
    </w:p>
  </w:endnote>
  <w:endnote w:type="continuationSeparator" w:id="0">
    <w:p w14:paraId="427BCB8D" w14:textId="77777777" w:rsidR="00992938" w:rsidRDefault="00992938" w:rsidP="0003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08C5" w14:textId="77777777" w:rsidR="00C40650" w:rsidRPr="000F488D" w:rsidRDefault="00C40650" w:rsidP="00C40650">
    <w:pPr>
      <w:tabs>
        <w:tab w:val="center" w:pos="4252"/>
        <w:tab w:val="right" w:pos="8504"/>
      </w:tabs>
      <w:snapToGrid w:val="0"/>
      <w:jc w:val="center"/>
      <w:rPr>
        <w:rFonts w:ascii="Arial" w:hAnsi="Arial" w:cs="Arial"/>
        <w:b/>
        <w:sz w:val="15"/>
        <w:szCs w:val="16"/>
        <w:lang w:eastAsia="es-ES_tradnl"/>
      </w:rPr>
    </w:pPr>
    <w:r w:rsidRPr="000F488D">
      <w:rPr>
        <w:rFonts w:ascii="Arial" w:hAnsi="Arial" w:cs="Arial"/>
        <w:b/>
        <w:sz w:val="15"/>
        <w:szCs w:val="16"/>
        <w:lang w:eastAsia="es-ES_tradnl"/>
      </w:rPr>
      <w:t xml:space="preserve">Calle 4 A Nº 9-101 Barrio Ricaurte </w:t>
    </w:r>
    <w:proofErr w:type="gramStart"/>
    <w:r w:rsidRPr="000F488D">
      <w:rPr>
        <w:rFonts w:ascii="Arial" w:hAnsi="Arial" w:cs="Arial"/>
        <w:b/>
        <w:sz w:val="15"/>
        <w:szCs w:val="16"/>
        <w:lang w:eastAsia="es-ES_tradnl"/>
      </w:rPr>
      <w:t>–  Teléfono</w:t>
    </w:r>
    <w:proofErr w:type="gramEnd"/>
    <w:r w:rsidRPr="000F488D">
      <w:rPr>
        <w:rFonts w:ascii="Arial" w:hAnsi="Arial" w:cs="Arial"/>
        <w:b/>
        <w:sz w:val="15"/>
        <w:szCs w:val="16"/>
        <w:lang w:eastAsia="es-ES_tradnl"/>
      </w:rPr>
      <w:t xml:space="preserve"> (8) 7282630 -7281746 -7282854 </w:t>
    </w:r>
  </w:p>
  <w:p w14:paraId="16C65BB7" w14:textId="77777777" w:rsidR="00C40650" w:rsidRDefault="00C40650" w:rsidP="00C40650">
    <w:pPr>
      <w:pStyle w:val="Piedepgina"/>
    </w:pPr>
    <w:r>
      <w:rPr>
        <w:rFonts w:ascii="Arial" w:hAnsi="Arial" w:cs="Arial"/>
        <w:b/>
        <w:sz w:val="16"/>
        <w:szCs w:val="16"/>
        <w:lang w:eastAsia="es-ES_tradnl"/>
      </w:rPr>
      <w:t xml:space="preserve">                              </w:t>
    </w:r>
    <w:r w:rsidRPr="000F488D">
      <w:rPr>
        <w:rFonts w:ascii="Arial" w:hAnsi="Arial" w:cs="Arial"/>
        <w:b/>
        <w:sz w:val="16"/>
        <w:szCs w:val="16"/>
        <w:lang w:eastAsia="es-ES_tradnl"/>
      </w:rPr>
      <w:t xml:space="preserve">Correo electrónico: </w:t>
    </w:r>
    <w:hyperlink r:id="rId1" w:history="1">
      <w:r w:rsidRPr="007E14F2">
        <w:rPr>
          <w:rStyle w:val="Hipervnculo"/>
          <w:rFonts w:ascii="Arial" w:hAnsi="Arial" w:cs="Arial"/>
          <w:b/>
          <w:sz w:val="16"/>
          <w:szCs w:val="16"/>
          <w:lang w:eastAsia="es-ES_tradnl"/>
        </w:rPr>
        <w:t>contactenos@hrm.gov.co</w:t>
      </w:r>
    </w:hyperlink>
    <w:r w:rsidRPr="000F488D">
      <w:rPr>
        <w:rFonts w:ascii="Arial" w:hAnsi="Arial" w:cs="Arial"/>
        <w:b/>
        <w:sz w:val="16"/>
        <w:szCs w:val="16"/>
        <w:lang w:eastAsia="es-ES_tradnl"/>
      </w:rPr>
      <w:t xml:space="preserve">  Página WEB: </w:t>
    </w:r>
    <w:hyperlink r:id="rId2" w:history="1">
      <w:r w:rsidRPr="007E14F2">
        <w:rPr>
          <w:rStyle w:val="Hipervnculo"/>
          <w:rFonts w:ascii="Arial" w:hAnsi="Arial" w:cs="Arial"/>
          <w:b/>
          <w:sz w:val="16"/>
          <w:szCs w:val="16"/>
          <w:lang w:eastAsia="es-ES_tradnl"/>
        </w:rPr>
        <w:t>www.hrm.gov.co</w:t>
      </w:r>
    </w:hyperlink>
  </w:p>
  <w:p w14:paraId="52B92F68" w14:textId="77777777" w:rsidR="00C40650" w:rsidRDefault="00C40650">
    <w:pPr>
      <w:pStyle w:val="Piedepgina"/>
    </w:pPr>
  </w:p>
  <w:p w14:paraId="255C7DE7" w14:textId="77777777" w:rsidR="00C40650" w:rsidRDefault="00C406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B64E" w14:textId="77777777" w:rsidR="00992938" w:rsidRDefault="00992938" w:rsidP="00036FDB">
      <w:r>
        <w:separator/>
      </w:r>
    </w:p>
  </w:footnote>
  <w:footnote w:type="continuationSeparator" w:id="0">
    <w:p w14:paraId="67F8E6A6" w14:textId="77777777" w:rsidR="00992938" w:rsidRDefault="00992938" w:rsidP="00036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BC75" w14:textId="77777777" w:rsidR="00BF6EA5" w:rsidRDefault="00BF6EA5" w:rsidP="00B4682C">
    <w:pPr>
      <w:ind w:left="708"/>
      <w:jc w:val="both"/>
      <w:rPr>
        <w:sz w:val="18"/>
        <w:szCs w:val="18"/>
        <w:lang w:val="es-ES_tradnl"/>
      </w:rPr>
    </w:pPr>
  </w:p>
  <w:p w14:paraId="79CDB156" w14:textId="77777777" w:rsidR="00BF6EA5" w:rsidRDefault="00922252" w:rsidP="00B4682C">
    <w:pPr>
      <w:ind w:left="708"/>
      <w:jc w:val="both"/>
      <w:rPr>
        <w:sz w:val="18"/>
        <w:szCs w:val="18"/>
        <w:lang w:val="es-ES_tradnl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44D43EF" wp14:editId="4333EB43">
          <wp:simplePos x="0" y="0"/>
          <wp:positionH relativeFrom="margin">
            <wp:posOffset>-236855</wp:posOffset>
          </wp:positionH>
          <wp:positionV relativeFrom="paragraph">
            <wp:posOffset>40640</wp:posOffset>
          </wp:positionV>
          <wp:extent cx="904875" cy="714375"/>
          <wp:effectExtent l="0" t="0" r="0" b="0"/>
          <wp:wrapNone/>
          <wp:docPr id="5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93277" w14:textId="77777777" w:rsidR="00C40650" w:rsidRDefault="00C40650" w:rsidP="00C40650">
    <w:pPr>
      <w:pStyle w:val="Encabezado"/>
      <w:jc w:val="center"/>
      <w:rPr>
        <w:rFonts w:ascii="Arial" w:hAnsi="Arial" w:cs="Arial"/>
      </w:rPr>
    </w:pPr>
    <w:r w:rsidRPr="000366B6">
      <w:rPr>
        <w:rFonts w:ascii="Arial" w:hAnsi="Arial" w:cs="Arial"/>
      </w:rPr>
      <w:t>HOSPITAL REGIONAL DE MONIQUIRA E.S.E</w:t>
    </w:r>
  </w:p>
  <w:p w14:paraId="58B1F3BE" w14:textId="77777777" w:rsidR="00C40650" w:rsidRPr="00946B59" w:rsidRDefault="00C40650" w:rsidP="00C40650">
    <w:pPr>
      <w:tabs>
        <w:tab w:val="center" w:pos="4252"/>
        <w:tab w:val="right" w:pos="8504"/>
      </w:tabs>
      <w:snapToGrid w:val="0"/>
      <w:jc w:val="center"/>
      <w:rPr>
        <w:rFonts w:ascii="Arial" w:hAnsi="Arial" w:cs="Arial"/>
        <w:b/>
        <w:sz w:val="15"/>
        <w:szCs w:val="16"/>
        <w:lang w:eastAsia="es-ES_tradnl"/>
      </w:rPr>
    </w:pPr>
    <w:r>
      <w:rPr>
        <w:rFonts w:cs="Arial"/>
        <w:b/>
        <w:bCs/>
        <w:color w:val="000000"/>
      </w:rPr>
      <w:t>“</w:t>
    </w:r>
    <w:r w:rsidRPr="00C84455">
      <w:rPr>
        <w:rFonts w:ascii="Bradley Hand ITC" w:hAnsi="Bradley Hand ITC" w:cs="Arial"/>
        <w:b/>
        <w:bCs/>
        <w:color w:val="000000"/>
      </w:rPr>
      <w:t>COMPROMETIDOS CON SU SALUD</w:t>
    </w:r>
    <w:r>
      <w:rPr>
        <w:rFonts w:cs="Arial"/>
        <w:b/>
        <w:bCs/>
        <w:color w:val="000000"/>
      </w:rPr>
      <w:t>”</w:t>
    </w:r>
  </w:p>
  <w:p w14:paraId="3DE0AB2C" w14:textId="77777777" w:rsidR="00C40650" w:rsidRDefault="00C40650" w:rsidP="00C40650">
    <w:pPr>
      <w:pStyle w:val="Encabezado"/>
      <w:jc w:val="center"/>
      <w:rPr>
        <w:rFonts w:ascii="Arial" w:hAnsi="Arial" w:cs="Arial"/>
      </w:rPr>
    </w:pPr>
    <w:r w:rsidRPr="000366B6">
      <w:rPr>
        <w:rFonts w:ascii="Arial" w:hAnsi="Arial" w:cs="Arial"/>
      </w:rPr>
      <w:t>NIT. 891.800.395-1</w:t>
    </w:r>
  </w:p>
  <w:p w14:paraId="6F138715" w14:textId="77777777" w:rsidR="00C40650" w:rsidRPr="000366B6" w:rsidRDefault="00C40650" w:rsidP="00C40650">
    <w:pPr>
      <w:pStyle w:val="Encabezado"/>
      <w:jc w:val="center"/>
      <w:rPr>
        <w:rFonts w:ascii="Arial" w:hAnsi="Arial" w:cs="Arial"/>
      </w:rPr>
    </w:pPr>
  </w:p>
  <w:p w14:paraId="5B321123" w14:textId="77777777" w:rsidR="00BF6EA5" w:rsidRPr="00D069BA" w:rsidRDefault="009113F9" w:rsidP="00036FDB">
    <w:pPr>
      <w:jc w:val="center"/>
      <w:rPr>
        <w:rFonts w:ascii="Arial Narrow" w:hAnsi="Arial Narrow"/>
        <w:b/>
        <w:lang w:val="es-AR"/>
      </w:rPr>
    </w:pPr>
    <w:r>
      <w:rPr>
        <w:rFonts w:ascii="Arial Narrow" w:hAnsi="Arial Narrow"/>
        <w:b/>
        <w:lang w:val="es-AR"/>
      </w:rPr>
      <w:t>PROYECTO DE</w:t>
    </w:r>
    <w:r w:rsidR="00BF6EA5">
      <w:rPr>
        <w:rFonts w:ascii="Arial Narrow" w:hAnsi="Arial Narrow"/>
        <w:b/>
        <w:lang w:val="es-AR"/>
      </w:rPr>
      <w:t xml:space="preserve"> </w:t>
    </w:r>
    <w:r w:rsidR="00835073">
      <w:rPr>
        <w:rFonts w:ascii="Arial Narrow" w:hAnsi="Arial Narrow"/>
        <w:b/>
        <w:lang w:val="es-AR"/>
      </w:rPr>
      <w:t>ADICIÓN</w:t>
    </w:r>
    <w:r w:rsidR="00BF6EA5">
      <w:rPr>
        <w:rFonts w:ascii="Arial Narrow" w:hAnsi="Arial Narrow"/>
        <w:b/>
        <w:lang w:val="es-AR"/>
      </w:rPr>
      <w:t xml:space="preserve"> PRESUPUESTAL</w:t>
    </w:r>
    <w:r w:rsidR="003D6FDF">
      <w:rPr>
        <w:rFonts w:ascii="Arial Narrow" w:hAnsi="Arial Narrow"/>
        <w:b/>
        <w:lang w:val="es-AR"/>
      </w:rPr>
      <w:t xml:space="preserve"> No.00</w:t>
    </w:r>
    <w:r w:rsidR="00C80831">
      <w:rPr>
        <w:rFonts w:ascii="Arial Narrow" w:hAnsi="Arial Narrow"/>
        <w:b/>
        <w:lang w:val="es-AR"/>
      </w:rPr>
      <w:t>_</w:t>
    </w:r>
  </w:p>
  <w:p w14:paraId="2AC843C2" w14:textId="77777777" w:rsidR="00BF6EA5" w:rsidRPr="00D069BA" w:rsidRDefault="00BF6EA5" w:rsidP="00036FDB">
    <w:pPr>
      <w:jc w:val="center"/>
      <w:rPr>
        <w:rFonts w:ascii="Arial Narrow" w:hAnsi="Arial Narrow"/>
        <w:lang w:val="es-AR"/>
      </w:rPr>
    </w:pPr>
    <w:r w:rsidRPr="00D069BA">
      <w:rPr>
        <w:rFonts w:ascii="Arial Narrow" w:hAnsi="Arial Narrow"/>
        <w:lang w:val="es-AR"/>
      </w:rPr>
      <w:t>(Moniquirá,</w:t>
    </w:r>
    <w:r>
      <w:rPr>
        <w:rFonts w:ascii="Arial Narrow" w:hAnsi="Arial Narrow"/>
        <w:lang w:val="es-AR"/>
      </w:rPr>
      <w:t xml:space="preserve"> </w:t>
    </w:r>
    <w:r w:rsidR="003D6FDF">
      <w:rPr>
        <w:rFonts w:ascii="Arial Narrow" w:hAnsi="Arial Narrow"/>
        <w:lang w:val="es-AR"/>
      </w:rPr>
      <w:t>__</w:t>
    </w:r>
    <w:r w:rsidR="0057782E">
      <w:rPr>
        <w:rFonts w:ascii="Arial Narrow" w:hAnsi="Arial Narrow"/>
        <w:lang w:val="es-AR"/>
      </w:rPr>
      <w:t xml:space="preserve"> de</w:t>
    </w:r>
    <w:r w:rsidR="00AA4B81">
      <w:rPr>
        <w:rFonts w:ascii="Arial Narrow" w:hAnsi="Arial Narrow"/>
        <w:lang w:val="es-AR"/>
      </w:rPr>
      <w:t xml:space="preserve"> </w:t>
    </w:r>
    <w:proofErr w:type="gramStart"/>
    <w:r w:rsidR="00AA4B81">
      <w:rPr>
        <w:rFonts w:ascii="Arial Narrow" w:hAnsi="Arial Narrow"/>
        <w:lang w:val="es-AR"/>
      </w:rPr>
      <w:t>Marzo</w:t>
    </w:r>
    <w:proofErr w:type="gramEnd"/>
    <w:r w:rsidR="008E5C65">
      <w:rPr>
        <w:rFonts w:ascii="Arial Narrow" w:hAnsi="Arial Narrow"/>
        <w:lang w:val="es-AR"/>
      </w:rPr>
      <w:t xml:space="preserve"> </w:t>
    </w:r>
    <w:r w:rsidR="003D6FDF">
      <w:rPr>
        <w:rFonts w:ascii="Arial Narrow" w:hAnsi="Arial Narrow"/>
        <w:lang w:val="es-AR"/>
      </w:rPr>
      <w:t>de 202</w:t>
    </w:r>
    <w:r w:rsidR="00C80831">
      <w:rPr>
        <w:rFonts w:ascii="Arial Narrow" w:hAnsi="Arial Narrow"/>
        <w:lang w:val="es-AR"/>
      </w:rPr>
      <w:t>2</w:t>
    </w:r>
    <w:r w:rsidRPr="00D069BA">
      <w:rPr>
        <w:rFonts w:ascii="Arial Narrow" w:hAnsi="Arial Narrow"/>
        <w:lang w:val="es-AR"/>
      </w:rPr>
      <w:t>)</w:t>
    </w:r>
  </w:p>
  <w:p w14:paraId="5FDC2D5C" w14:textId="77777777" w:rsidR="00BF6EA5" w:rsidRDefault="00BF6EA5" w:rsidP="00F9389A">
    <w:pPr>
      <w:jc w:val="center"/>
      <w:rPr>
        <w:rFonts w:ascii="Arial Narrow" w:hAnsi="Arial Narrow" w:cs="Arial"/>
        <w:b/>
        <w:i/>
        <w:lang w:val="es-ES_tradnl"/>
      </w:rPr>
    </w:pPr>
    <w:r w:rsidRPr="00D069BA">
      <w:rPr>
        <w:rFonts w:ascii="Arial Narrow" w:hAnsi="Arial Narrow"/>
        <w:b/>
        <w:lang w:val="es-AR"/>
      </w:rPr>
      <w:t xml:space="preserve">POR MEDIO DEL CUAL SE </w:t>
    </w:r>
    <w:r>
      <w:rPr>
        <w:rFonts w:ascii="Arial Narrow" w:hAnsi="Arial Narrow"/>
        <w:b/>
        <w:lang w:val="es-AR"/>
      </w:rPr>
      <w:t xml:space="preserve">ADICIONA EL PRESUPUESTO DE INGRESOS Y GASTOS DEL HOSPITAL REGIONAL DE MONIQUIRA E.S.E. </w:t>
    </w:r>
    <w:r w:rsidRPr="00D069BA">
      <w:rPr>
        <w:rFonts w:ascii="Arial Narrow" w:hAnsi="Arial Narrow"/>
        <w:b/>
        <w:lang w:val="es-AR"/>
      </w:rPr>
      <w:t xml:space="preserve">PARA </w:t>
    </w:r>
    <w:r w:rsidR="009113F9" w:rsidRPr="00D069BA">
      <w:rPr>
        <w:rFonts w:ascii="Arial Narrow" w:hAnsi="Arial Narrow"/>
        <w:b/>
        <w:lang w:val="es-AR"/>
      </w:rPr>
      <w:t xml:space="preserve">LA </w:t>
    </w:r>
    <w:r w:rsidR="009113F9" w:rsidRPr="00D069BA">
      <w:rPr>
        <w:rFonts w:ascii="Arial Narrow" w:hAnsi="Arial Narrow" w:cs="Arial"/>
        <w:b/>
        <w:i/>
        <w:lang w:val="es-ES_tradnl"/>
      </w:rPr>
      <w:t>VIGENCIA</w:t>
    </w:r>
    <w:r w:rsidRPr="00D069BA">
      <w:rPr>
        <w:rFonts w:ascii="Arial Narrow" w:hAnsi="Arial Narrow" w:cs="Arial"/>
        <w:b/>
        <w:i/>
        <w:lang w:val="es-ES_tradnl"/>
      </w:rPr>
      <w:t xml:space="preserve"> FISCAL </w:t>
    </w:r>
    <w:r>
      <w:rPr>
        <w:rFonts w:ascii="Arial Narrow" w:hAnsi="Arial Narrow" w:cs="Arial"/>
        <w:b/>
        <w:i/>
        <w:lang w:val="es-ES_tradnl"/>
      </w:rPr>
      <w:t>20</w:t>
    </w:r>
    <w:r w:rsidR="003D6FDF">
      <w:rPr>
        <w:rFonts w:ascii="Arial Narrow" w:hAnsi="Arial Narrow" w:cs="Arial"/>
        <w:b/>
        <w:i/>
        <w:lang w:val="es-ES_tradnl"/>
      </w:rPr>
      <w:t>2</w:t>
    </w:r>
    <w:r w:rsidR="00C80831">
      <w:rPr>
        <w:rFonts w:ascii="Arial Narrow" w:hAnsi="Arial Narrow" w:cs="Arial"/>
        <w:b/>
        <w:i/>
        <w:lang w:val="es-ES_tradnl"/>
      </w:rPr>
      <w:t>2</w:t>
    </w:r>
  </w:p>
  <w:p w14:paraId="1CC511FE" w14:textId="77777777" w:rsidR="00BF6EA5" w:rsidRPr="00D069BA" w:rsidRDefault="00BF6EA5" w:rsidP="00F9389A">
    <w:pPr>
      <w:jc w:val="center"/>
      <w:rPr>
        <w:rFonts w:ascii="Arial" w:hAnsi="Arial" w:cs="Arial"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58FC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57F92"/>
    <w:multiLevelType w:val="hybridMultilevel"/>
    <w:tmpl w:val="DCD0B1C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CB0F98"/>
    <w:multiLevelType w:val="hybridMultilevel"/>
    <w:tmpl w:val="1E96EC7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A3357"/>
    <w:multiLevelType w:val="hybridMultilevel"/>
    <w:tmpl w:val="16FAED72"/>
    <w:lvl w:ilvl="0" w:tplc="0C0A0015">
      <w:start w:val="1"/>
      <w:numFmt w:val="upperLetter"/>
      <w:lvlText w:val="%1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578533">
    <w:abstractNumId w:val="3"/>
  </w:num>
  <w:num w:numId="2" w16cid:durableId="149637605">
    <w:abstractNumId w:val="1"/>
  </w:num>
  <w:num w:numId="3" w16cid:durableId="1487893695">
    <w:abstractNumId w:val="3"/>
  </w:num>
  <w:num w:numId="4" w16cid:durableId="1326666975">
    <w:abstractNumId w:val="0"/>
  </w:num>
  <w:num w:numId="5" w16cid:durableId="589197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DB"/>
    <w:rsid w:val="00000766"/>
    <w:rsid w:val="00001D44"/>
    <w:rsid w:val="00011C88"/>
    <w:rsid w:val="00032D14"/>
    <w:rsid w:val="00036FDB"/>
    <w:rsid w:val="00043492"/>
    <w:rsid w:val="00075F32"/>
    <w:rsid w:val="00077C1C"/>
    <w:rsid w:val="000978D8"/>
    <w:rsid w:val="000D5E15"/>
    <w:rsid w:val="000D778C"/>
    <w:rsid w:val="000E30F9"/>
    <w:rsid w:val="000E7534"/>
    <w:rsid w:val="001117C5"/>
    <w:rsid w:val="00117BF3"/>
    <w:rsid w:val="00117E50"/>
    <w:rsid w:val="001271B7"/>
    <w:rsid w:val="001349B6"/>
    <w:rsid w:val="00137248"/>
    <w:rsid w:val="00140965"/>
    <w:rsid w:val="00144095"/>
    <w:rsid w:val="00157ABC"/>
    <w:rsid w:val="00163849"/>
    <w:rsid w:val="001733AC"/>
    <w:rsid w:val="00175C26"/>
    <w:rsid w:val="00195F22"/>
    <w:rsid w:val="001A6E8A"/>
    <w:rsid w:val="001B1DD0"/>
    <w:rsid w:val="001B2822"/>
    <w:rsid w:val="001B4F8A"/>
    <w:rsid w:val="001B57A7"/>
    <w:rsid w:val="001E7707"/>
    <w:rsid w:val="001F5FFA"/>
    <w:rsid w:val="002033D7"/>
    <w:rsid w:val="00204CFE"/>
    <w:rsid w:val="00210906"/>
    <w:rsid w:val="002175CD"/>
    <w:rsid w:val="00265A01"/>
    <w:rsid w:val="00290EF9"/>
    <w:rsid w:val="0029504B"/>
    <w:rsid w:val="002B4EC5"/>
    <w:rsid w:val="002B63AC"/>
    <w:rsid w:val="002C1B47"/>
    <w:rsid w:val="002C44DC"/>
    <w:rsid w:val="002C7DC0"/>
    <w:rsid w:val="00311F60"/>
    <w:rsid w:val="0031770F"/>
    <w:rsid w:val="00324546"/>
    <w:rsid w:val="003251C3"/>
    <w:rsid w:val="00334B9F"/>
    <w:rsid w:val="00353257"/>
    <w:rsid w:val="00357D0E"/>
    <w:rsid w:val="00360B5A"/>
    <w:rsid w:val="0036253B"/>
    <w:rsid w:val="00371513"/>
    <w:rsid w:val="00375303"/>
    <w:rsid w:val="00394C7A"/>
    <w:rsid w:val="003A1ED5"/>
    <w:rsid w:val="003B32FB"/>
    <w:rsid w:val="003C26E8"/>
    <w:rsid w:val="003D1BDA"/>
    <w:rsid w:val="003D6FDF"/>
    <w:rsid w:val="003E5204"/>
    <w:rsid w:val="00405685"/>
    <w:rsid w:val="00427D96"/>
    <w:rsid w:val="00437927"/>
    <w:rsid w:val="00441FEC"/>
    <w:rsid w:val="00447265"/>
    <w:rsid w:val="0047757F"/>
    <w:rsid w:val="00490804"/>
    <w:rsid w:val="00490F9F"/>
    <w:rsid w:val="004A5AD4"/>
    <w:rsid w:val="004A6CC4"/>
    <w:rsid w:val="004B1A29"/>
    <w:rsid w:val="004B589F"/>
    <w:rsid w:val="004B6934"/>
    <w:rsid w:val="004C5B5C"/>
    <w:rsid w:val="004F6696"/>
    <w:rsid w:val="004F7ECC"/>
    <w:rsid w:val="00506F77"/>
    <w:rsid w:val="00523A43"/>
    <w:rsid w:val="0052568C"/>
    <w:rsid w:val="00527B6A"/>
    <w:rsid w:val="00537F5A"/>
    <w:rsid w:val="00545FF5"/>
    <w:rsid w:val="00547288"/>
    <w:rsid w:val="0056753C"/>
    <w:rsid w:val="00570276"/>
    <w:rsid w:val="0057365B"/>
    <w:rsid w:val="0057366B"/>
    <w:rsid w:val="00573FDA"/>
    <w:rsid w:val="0057782E"/>
    <w:rsid w:val="00587D37"/>
    <w:rsid w:val="005B040B"/>
    <w:rsid w:val="005C4F45"/>
    <w:rsid w:val="006153DA"/>
    <w:rsid w:val="00634376"/>
    <w:rsid w:val="00636193"/>
    <w:rsid w:val="00670476"/>
    <w:rsid w:val="006A3BC0"/>
    <w:rsid w:val="006A5C98"/>
    <w:rsid w:val="006A5CA3"/>
    <w:rsid w:val="006B68B4"/>
    <w:rsid w:val="006B7F53"/>
    <w:rsid w:val="006C7099"/>
    <w:rsid w:val="006F7AEA"/>
    <w:rsid w:val="007011E5"/>
    <w:rsid w:val="007025B7"/>
    <w:rsid w:val="00714361"/>
    <w:rsid w:val="00721E0B"/>
    <w:rsid w:val="007245C1"/>
    <w:rsid w:val="00734FB9"/>
    <w:rsid w:val="00736E85"/>
    <w:rsid w:val="00760534"/>
    <w:rsid w:val="0079209E"/>
    <w:rsid w:val="0079322C"/>
    <w:rsid w:val="00794544"/>
    <w:rsid w:val="007A6E94"/>
    <w:rsid w:val="007B069A"/>
    <w:rsid w:val="007B11DD"/>
    <w:rsid w:val="007B16D1"/>
    <w:rsid w:val="007B1C34"/>
    <w:rsid w:val="007B2396"/>
    <w:rsid w:val="007B2B18"/>
    <w:rsid w:val="007D08A2"/>
    <w:rsid w:val="007D5351"/>
    <w:rsid w:val="007D6C08"/>
    <w:rsid w:val="007E6534"/>
    <w:rsid w:val="007E7092"/>
    <w:rsid w:val="00800D8F"/>
    <w:rsid w:val="008035D7"/>
    <w:rsid w:val="00814A61"/>
    <w:rsid w:val="008317F7"/>
    <w:rsid w:val="00835073"/>
    <w:rsid w:val="00852C3C"/>
    <w:rsid w:val="00854A85"/>
    <w:rsid w:val="0085531E"/>
    <w:rsid w:val="00864033"/>
    <w:rsid w:val="00872C19"/>
    <w:rsid w:val="00881D57"/>
    <w:rsid w:val="008A30F7"/>
    <w:rsid w:val="008A3CEA"/>
    <w:rsid w:val="008A6BF5"/>
    <w:rsid w:val="008B303A"/>
    <w:rsid w:val="008B4C1A"/>
    <w:rsid w:val="008C080C"/>
    <w:rsid w:val="008C3F0A"/>
    <w:rsid w:val="008D23EF"/>
    <w:rsid w:val="008E5C65"/>
    <w:rsid w:val="008F483F"/>
    <w:rsid w:val="009113F9"/>
    <w:rsid w:val="0091415B"/>
    <w:rsid w:val="00922252"/>
    <w:rsid w:val="00925119"/>
    <w:rsid w:val="0093004D"/>
    <w:rsid w:val="009441AB"/>
    <w:rsid w:val="009511AA"/>
    <w:rsid w:val="00960096"/>
    <w:rsid w:val="00964355"/>
    <w:rsid w:val="00974D94"/>
    <w:rsid w:val="00982D19"/>
    <w:rsid w:val="00984961"/>
    <w:rsid w:val="00992938"/>
    <w:rsid w:val="009C0650"/>
    <w:rsid w:val="009C208F"/>
    <w:rsid w:val="009C307A"/>
    <w:rsid w:val="009D031D"/>
    <w:rsid w:val="009D1A88"/>
    <w:rsid w:val="009D5CCD"/>
    <w:rsid w:val="009F1E6F"/>
    <w:rsid w:val="009F39DE"/>
    <w:rsid w:val="00A154CB"/>
    <w:rsid w:val="00A20FD1"/>
    <w:rsid w:val="00A3192A"/>
    <w:rsid w:val="00A32027"/>
    <w:rsid w:val="00A47D25"/>
    <w:rsid w:val="00A57C03"/>
    <w:rsid w:val="00A60367"/>
    <w:rsid w:val="00A613B9"/>
    <w:rsid w:val="00A940D8"/>
    <w:rsid w:val="00A960D3"/>
    <w:rsid w:val="00A97C97"/>
    <w:rsid w:val="00AA4B81"/>
    <w:rsid w:val="00AA4DA7"/>
    <w:rsid w:val="00AA783A"/>
    <w:rsid w:val="00AB417B"/>
    <w:rsid w:val="00AE77A4"/>
    <w:rsid w:val="00B24838"/>
    <w:rsid w:val="00B35296"/>
    <w:rsid w:val="00B4193A"/>
    <w:rsid w:val="00B4682C"/>
    <w:rsid w:val="00B57E38"/>
    <w:rsid w:val="00B64F81"/>
    <w:rsid w:val="00B742D9"/>
    <w:rsid w:val="00B8044E"/>
    <w:rsid w:val="00B8435C"/>
    <w:rsid w:val="00B91BA0"/>
    <w:rsid w:val="00B92527"/>
    <w:rsid w:val="00B97A07"/>
    <w:rsid w:val="00BA3710"/>
    <w:rsid w:val="00BA5AFA"/>
    <w:rsid w:val="00BA653C"/>
    <w:rsid w:val="00BC27F8"/>
    <w:rsid w:val="00BD2289"/>
    <w:rsid w:val="00BD28AE"/>
    <w:rsid w:val="00BD325A"/>
    <w:rsid w:val="00BE50EC"/>
    <w:rsid w:val="00BF6EA5"/>
    <w:rsid w:val="00C037F4"/>
    <w:rsid w:val="00C06915"/>
    <w:rsid w:val="00C100F8"/>
    <w:rsid w:val="00C20519"/>
    <w:rsid w:val="00C21962"/>
    <w:rsid w:val="00C27530"/>
    <w:rsid w:val="00C37AC9"/>
    <w:rsid w:val="00C40650"/>
    <w:rsid w:val="00C44E0D"/>
    <w:rsid w:val="00C61566"/>
    <w:rsid w:val="00C80831"/>
    <w:rsid w:val="00CA2BB7"/>
    <w:rsid w:val="00CA5509"/>
    <w:rsid w:val="00CB3200"/>
    <w:rsid w:val="00CB3430"/>
    <w:rsid w:val="00CB3C6B"/>
    <w:rsid w:val="00CB5A23"/>
    <w:rsid w:val="00CC184C"/>
    <w:rsid w:val="00CC7E15"/>
    <w:rsid w:val="00CD5927"/>
    <w:rsid w:val="00CE26DC"/>
    <w:rsid w:val="00CE474A"/>
    <w:rsid w:val="00CF3FC2"/>
    <w:rsid w:val="00CF7814"/>
    <w:rsid w:val="00D00485"/>
    <w:rsid w:val="00D069BA"/>
    <w:rsid w:val="00D07EA3"/>
    <w:rsid w:val="00D16BA9"/>
    <w:rsid w:val="00D27AE0"/>
    <w:rsid w:val="00D315AF"/>
    <w:rsid w:val="00D47F98"/>
    <w:rsid w:val="00D509EE"/>
    <w:rsid w:val="00D54F5E"/>
    <w:rsid w:val="00D56878"/>
    <w:rsid w:val="00D63DD3"/>
    <w:rsid w:val="00D66D33"/>
    <w:rsid w:val="00D75382"/>
    <w:rsid w:val="00D77FB2"/>
    <w:rsid w:val="00D830A7"/>
    <w:rsid w:val="00D83DEC"/>
    <w:rsid w:val="00D914C2"/>
    <w:rsid w:val="00DE2F4E"/>
    <w:rsid w:val="00DE7628"/>
    <w:rsid w:val="00DF637E"/>
    <w:rsid w:val="00E12143"/>
    <w:rsid w:val="00E12265"/>
    <w:rsid w:val="00E26D65"/>
    <w:rsid w:val="00E35BB4"/>
    <w:rsid w:val="00E43AC2"/>
    <w:rsid w:val="00E53D34"/>
    <w:rsid w:val="00E600E3"/>
    <w:rsid w:val="00E62DDF"/>
    <w:rsid w:val="00E8125D"/>
    <w:rsid w:val="00E82EEF"/>
    <w:rsid w:val="00E9025C"/>
    <w:rsid w:val="00E9199C"/>
    <w:rsid w:val="00E959C7"/>
    <w:rsid w:val="00EA0AE8"/>
    <w:rsid w:val="00EA420B"/>
    <w:rsid w:val="00EE3F4E"/>
    <w:rsid w:val="00EF1FC4"/>
    <w:rsid w:val="00EF4261"/>
    <w:rsid w:val="00EF458E"/>
    <w:rsid w:val="00F03A5D"/>
    <w:rsid w:val="00F1095C"/>
    <w:rsid w:val="00F1119D"/>
    <w:rsid w:val="00F23587"/>
    <w:rsid w:val="00F343A6"/>
    <w:rsid w:val="00F46A3E"/>
    <w:rsid w:val="00F60735"/>
    <w:rsid w:val="00F82DD6"/>
    <w:rsid w:val="00F92FA3"/>
    <w:rsid w:val="00F9389A"/>
    <w:rsid w:val="00F96C2A"/>
    <w:rsid w:val="00FA652F"/>
    <w:rsid w:val="00FB111E"/>
    <w:rsid w:val="00FB1158"/>
    <w:rsid w:val="00FB4186"/>
    <w:rsid w:val="00FB44D3"/>
    <w:rsid w:val="00FB7488"/>
    <w:rsid w:val="00FD7C60"/>
    <w:rsid w:val="00FE18DA"/>
    <w:rsid w:val="00FF11E4"/>
    <w:rsid w:val="00FF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CB00B"/>
  <w14:defaultImageDpi w14:val="300"/>
  <w15:chartTrackingRefBased/>
  <w15:docId w15:val="{2B8BDCED-CC96-F04C-8248-5D68EF93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6D1"/>
    <w:rPr>
      <w:rFonts w:ascii="Times New Roman" w:eastAsia="Times New Roman" w:hAnsi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056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s-CO"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56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CO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36F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36F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36F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36F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adrculaclara-nfasis31">
    <w:name w:val="Cuadrícula clara - Énfasis 31"/>
    <w:basedOn w:val="Normal"/>
    <w:uiPriority w:val="34"/>
    <w:qFormat/>
    <w:rsid w:val="00AA4D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724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724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F1119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119D"/>
  </w:style>
  <w:style w:type="character" w:customStyle="1" w:styleId="TextocomentarioCar">
    <w:name w:val="Texto comentario Car"/>
    <w:link w:val="Textocomentario"/>
    <w:uiPriority w:val="99"/>
    <w:semiHidden/>
    <w:rsid w:val="00F1119D"/>
    <w:rPr>
      <w:rFonts w:ascii="Times New Roman" w:eastAsia="Times New Roman" w:hAnsi="Times New Roman"/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19D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F1119D"/>
    <w:rPr>
      <w:rFonts w:ascii="Times New Roman" w:eastAsia="Times New Roman" w:hAnsi="Times New Roman"/>
      <w:b/>
      <w:bCs/>
      <w:sz w:val="24"/>
      <w:szCs w:val="24"/>
      <w:lang w:val="es-ES"/>
    </w:rPr>
  </w:style>
  <w:style w:type="character" w:styleId="Hipervnculo">
    <w:name w:val="Hyperlink"/>
    <w:uiPriority w:val="99"/>
    <w:unhideWhenUsed/>
    <w:rsid w:val="00C40650"/>
    <w:rPr>
      <w:color w:val="0000FF"/>
      <w:u w:val="single"/>
    </w:rPr>
  </w:style>
  <w:style w:type="paragraph" w:styleId="Sinespaciado">
    <w:name w:val="No Spacing"/>
    <w:uiPriority w:val="1"/>
    <w:qFormat/>
    <w:rsid w:val="00DE7628"/>
    <w:rPr>
      <w:rFonts w:ascii="Times New Roman" w:eastAsia="Times New Roman" w:hAnsi="Times New Roman"/>
      <w:sz w:val="24"/>
      <w:szCs w:val="24"/>
      <w:lang w:eastAsia="es-ES_tradnl"/>
    </w:rPr>
  </w:style>
  <w:style w:type="character" w:customStyle="1" w:styleId="Ttulo1Car">
    <w:name w:val="Título 1 Car"/>
    <w:link w:val="Ttulo1"/>
    <w:uiPriority w:val="9"/>
    <w:rsid w:val="00405685"/>
    <w:rPr>
      <w:rFonts w:ascii="Calibri Light" w:eastAsia="Times New Roman" w:hAnsi="Calibri Light"/>
      <w:b/>
      <w:bCs/>
      <w:kern w:val="32"/>
      <w:sz w:val="32"/>
      <w:szCs w:val="32"/>
      <w:lang w:eastAsia="es-ES_tradnl"/>
    </w:rPr>
  </w:style>
  <w:style w:type="character" w:customStyle="1" w:styleId="Ttulo3Car">
    <w:name w:val="Título 3 Car"/>
    <w:link w:val="Ttulo3"/>
    <w:uiPriority w:val="9"/>
    <w:rsid w:val="00405685"/>
    <w:rPr>
      <w:rFonts w:ascii="Cambria" w:eastAsia="Times New Roman" w:hAnsi="Cambria" w:cs="Times New Roman"/>
      <w:b/>
      <w:bCs/>
      <w:sz w:val="26"/>
      <w:szCs w:val="26"/>
      <w:lang w:eastAsia="es-ES_tradnl"/>
    </w:rPr>
  </w:style>
  <w:style w:type="table" w:styleId="Tablaconcuadrcula">
    <w:name w:val="Table Grid"/>
    <w:basedOn w:val="Tablanormal"/>
    <w:uiPriority w:val="59"/>
    <w:rsid w:val="0091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C26E8"/>
    <w:pPr>
      <w:ind w:left="708"/>
    </w:pPr>
    <w:rPr>
      <w:lang w:val="es-CO" w:eastAsia="en-US"/>
    </w:rPr>
  </w:style>
  <w:style w:type="character" w:customStyle="1" w:styleId="PrrafodelistaCar">
    <w:name w:val="Párrafo de lista Car"/>
    <w:link w:val="Prrafodelista"/>
    <w:uiPriority w:val="34"/>
    <w:locked/>
    <w:rsid w:val="003C26E8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rm.gov.co" TargetMode="External"/><Relationship Id="rId1" Type="http://schemas.openxmlformats.org/officeDocument/2006/relationships/hyperlink" Target="mailto:contactenos@hrm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1040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6748</CharactersWithSpaces>
  <SharedDoc>false</SharedDoc>
  <HLinks>
    <vt:vector size="12" baseType="variant">
      <vt:variant>
        <vt:i4>7536674</vt:i4>
      </vt:variant>
      <vt:variant>
        <vt:i4>3</vt:i4>
      </vt:variant>
      <vt:variant>
        <vt:i4>0</vt:i4>
      </vt:variant>
      <vt:variant>
        <vt:i4>5</vt:i4>
      </vt:variant>
      <vt:variant>
        <vt:lpwstr>http://www.hrm.gov.co/</vt:lpwstr>
      </vt:variant>
      <vt:variant>
        <vt:lpwstr/>
      </vt:variant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mailto:contactenos@hrm.gov.co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SUBGERENCIA</dc:creator>
  <cp:keywords/>
  <cp:lastModifiedBy>Hospital Moniquira</cp:lastModifiedBy>
  <cp:revision>5</cp:revision>
  <cp:lastPrinted>2022-03-09T16:58:00Z</cp:lastPrinted>
  <dcterms:created xsi:type="dcterms:W3CDTF">2022-05-25T20:13:00Z</dcterms:created>
  <dcterms:modified xsi:type="dcterms:W3CDTF">2022-05-28T00:16:00Z</dcterms:modified>
</cp:coreProperties>
</file>